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B0" w:rsidRDefault="001135B0" w:rsidP="001135B0">
      <w:pPr>
        <w:ind w:hanging="426"/>
        <w:rPr>
          <w:rFonts w:ascii="Arial" w:hAnsi="Arial" w:cs="Arial"/>
          <w:b/>
          <w:sz w:val="24"/>
          <w:szCs w:val="24"/>
        </w:rPr>
      </w:pPr>
      <w:r>
        <w:rPr>
          <w:rFonts w:ascii="Arial" w:hAnsi="Arial" w:cs="Arial"/>
          <w:b/>
          <w:sz w:val="24"/>
          <w:szCs w:val="24"/>
        </w:rPr>
        <w:t>Consultation Process</w:t>
      </w:r>
    </w:p>
    <w:p w:rsidR="001135B0" w:rsidRDefault="001135B0" w:rsidP="001135B0">
      <w:pPr>
        <w:pStyle w:val="ListParagraph"/>
        <w:numPr>
          <w:ilvl w:val="0"/>
          <w:numId w:val="1"/>
        </w:numPr>
        <w:spacing w:after="120"/>
        <w:ind w:left="357" w:hanging="720"/>
        <w:contextualSpacing w:val="0"/>
        <w:rPr>
          <w:rFonts w:ascii="Arial" w:hAnsi="Arial" w:cs="Arial"/>
          <w:sz w:val="24"/>
          <w:szCs w:val="24"/>
        </w:rPr>
      </w:pPr>
      <w:r>
        <w:rPr>
          <w:rFonts w:ascii="Arial" w:hAnsi="Arial" w:cs="Arial"/>
          <w:sz w:val="24"/>
          <w:szCs w:val="24"/>
        </w:rPr>
        <w:t xml:space="preserve">The Department is keen to secure your views on the proposed new approach to commissioning, awarding and disbursing funding to the Voluntary, Community and Social Enterprise sector.  The consultation period will run for a 12 week period closing on </w:t>
      </w:r>
      <w:r>
        <w:rPr>
          <w:rFonts w:ascii="Arial" w:hAnsi="Arial" w:cs="Arial"/>
          <w:sz w:val="24"/>
          <w:szCs w:val="24"/>
        </w:rPr>
        <w:t>23</w:t>
      </w:r>
      <w:r>
        <w:rPr>
          <w:rFonts w:ascii="Arial" w:hAnsi="Arial" w:cs="Arial"/>
          <w:sz w:val="24"/>
          <w:szCs w:val="24"/>
        </w:rPr>
        <w:t xml:space="preserve"> September 2016.  Throughout the summer period the Department will engage with the sector to provide information on the proposals and encourage the sector and those with an interest to submit your views early.</w:t>
      </w:r>
    </w:p>
    <w:p w:rsidR="001135B0" w:rsidRDefault="001135B0" w:rsidP="001135B0">
      <w:pPr>
        <w:pStyle w:val="ListParagraph"/>
        <w:numPr>
          <w:ilvl w:val="0"/>
          <w:numId w:val="1"/>
        </w:numPr>
        <w:spacing w:after="120"/>
        <w:ind w:left="357" w:hanging="720"/>
        <w:contextualSpacing w:val="0"/>
        <w:rPr>
          <w:rFonts w:ascii="Arial" w:hAnsi="Arial" w:cs="Arial"/>
          <w:sz w:val="24"/>
          <w:szCs w:val="24"/>
        </w:rPr>
      </w:pPr>
      <w:r>
        <w:rPr>
          <w:rFonts w:ascii="Arial" w:hAnsi="Arial" w:cs="Arial"/>
          <w:sz w:val="24"/>
          <w:szCs w:val="24"/>
        </w:rPr>
        <w:t>The consultation document and supporting information will be provided via the Department’s website and can also be found on NICVA and CO3’s websites.  The consultation document sets out a number of qu</w:t>
      </w:r>
      <w:r>
        <w:rPr>
          <w:rFonts w:ascii="Arial" w:hAnsi="Arial" w:cs="Arial"/>
          <w:sz w:val="24"/>
          <w:szCs w:val="24"/>
        </w:rPr>
        <w:t xml:space="preserve">estions, and a </w:t>
      </w:r>
      <w:proofErr w:type="spellStart"/>
      <w:r>
        <w:rPr>
          <w:rFonts w:ascii="Arial" w:hAnsi="Arial" w:cs="Arial"/>
          <w:sz w:val="24"/>
          <w:szCs w:val="24"/>
        </w:rPr>
        <w:t>proforma</w:t>
      </w:r>
      <w:proofErr w:type="spellEnd"/>
      <w:r>
        <w:rPr>
          <w:rFonts w:ascii="Arial" w:hAnsi="Arial" w:cs="Arial"/>
          <w:sz w:val="24"/>
          <w:szCs w:val="24"/>
        </w:rPr>
        <w:t xml:space="preserve"> (Annex A</w:t>
      </w:r>
      <w:r>
        <w:rPr>
          <w:rFonts w:ascii="Arial" w:hAnsi="Arial" w:cs="Arial"/>
          <w:sz w:val="24"/>
          <w:szCs w:val="24"/>
        </w:rPr>
        <w:t xml:space="preserve">) has been provided to aid the structure of responses.  The Department would encourage you to submit your views in electronic format, but is content to receive views in a format that is preferred by you. </w:t>
      </w:r>
    </w:p>
    <w:p w:rsidR="001135B0" w:rsidRDefault="001135B0" w:rsidP="001135B0">
      <w:pPr>
        <w:pStyle w:val="ListParagraph"/>
        <w:numPr>
          <w:ilvl w:val="0"/>
          <w:numId w:val="1"/>
        </w:numPr>
        <w:spacing w:after="120"/>
        <w:ind w:left="357" w:hanging="720"/>
        <w:contextualSpacing w:val="0"/>
        <w:rPr>
          <w:rFonts w:ascii="Arial" w:hAnsi="Arial" w:cs="Arial"/>
          <w:sz w:val="24"/>
          <w:szCs w:val="24"/>
        </w:rPr>
      </w:pPr>
      <w:r>
        <w:rPr>
          <w:rFonts w:ascii="Arial" w:hAnsi="Arial" w:cs="Arial"/>
          <w:sz w:val="24"/>
          <w:szCs w:val="24"/>
        </w:rPr>
        <w:t>Should you require the consultation document in a different format, please contact the Department to organise this.</w:t>
      </w:r>
    </w:p>
    <w:p w:rsidR="001135B0" w:rsidRDefault="001135B0" w:rsidP="001135B0">
      <w:pPr>
        <w:pStyle w:val="ListParagraph"/>
        <w:numPr>
          <w:ilvl w:val="0"/>
          <w:numId w:val="1"/>
        </w:numPr>
        <w:spacing w:after="120"/>
        <w:ind w:left="357" w:hanging="720"/>
        <w:contextualSpacing w:val="0"/>
        <w:rPr>
          <w:rFonts w:ascii="Arial" w:hAnsi="Arial" w:cs="Arial"/>
          <w:sz w:val="24"/>
          <w:szCs w:val="24"/>
        </w:rPr>
      </w:pPr>
      <w:r>
        <w:rPr>
          <w:rFonts w:ascii="Arial" w:hAnsi="Arial" w:cs="Arial"/>
          <w:sz w:val="24"/>
          <w:szCs w:val="24"/>
        </w:rPr>
        <w:t>Contact Information:</w:t>
      </w:r>
    </w:p>
    <w:p w:rsidR="001135B0" w:rsidRDefault="001135B0" w:rsidP="001135B0">
      <w:pPr>
        <w:pStyle w:val="ListParagraph"/>
        <w:spacing w:after="120"/>
        <w:ind w:left="357"/>
        <w:contextualSpacing w:val="0"/>
        <w:rPr>
          <w:rFonts w:ascii="Arial" w:hAnsi="Arial" w:cs="Arial"/>
          <w:sz w:val="24"/>
          <w:szCs w:val="24"/>
        </w:rPr>
      </w:pPr>
      <w:r>
        <w:rPr>
          <w:rFonts w:ascii="Arial" w:hAnsi="Arial" w:cs="Arial"/>
          <w:sz w:val="24"/>
          <w:szCs w:val="24"/>
        </w:rPr>
        <w:t>Address:</w:t>
      </w:r>
      <w:r>
        <w:rPr>
          <w:rFonts w:ascii="Arial" w:hAnsi="Arial" w:cs="Arial"/>
          <w:sz w:val="24"/>
          <w:szCs w:val="24"/>
        </w:rPr>
        <w:tab/>
        <w:t>The Legacy Unit</w:t>
      </w:r>
    </w:p>
    <w:p w:rsidR="001135B0" w:rsidRDefault="001135B0" w:rsidP="001135B0">
      <w:pPr>
        <w:pStyle w:val="ListParagraph"/>
        <w:spacing w:after="120"/>
        <w:ind w:left="1077" w:firstLine="363"/>
        <w:contextualSpacing w:val="0"/>
        <w:rPr>
          <w:rFonts w:ascii="Arial" w:hAnsi="Arial" w:cs="Arial"/>
          <w:sz w:val="24"/>
          <w:szCs w:val="24"/>
        </w:rPr>
      </w:pPr>
      <w:r>
        <w:rPr>
          <w:rFonts w:ascii="Arial" w:hAnsi="Arial" w:cs="Arial"/>
          <w:sz w:val="24"/>
          <w:szCs w:val="24"/>
        </w:rPr>
        <w:t>Department of Justice</w:t>
      </w:r>
    </w:p>
    <w:p w:rsidR="001135B0" w:rsidRDefault="001135B0" w:rsidP="001135B0">
      <w:pPr>
        <w:pStyle w:val="ListParagraph"/>
        <w:spacing w:after="120"/>
        <w:ind w:left="1077" w:firstLine="363"/>
        <w:contextualSpacing w:val="0"/>
        <w:rPr>
          <w:rFonts w:ascii="Arial" w:hAnsi="Arial" w:cs="Arial"/>
          <w:sz w:val="24"/>
          <w:szCs w:val="24"/>
        </w:rPr>
      </w:pPr>
      <w:r>
        <w:rPr>
          <w:rFonts w:ascii="Arial" w:hAnsi="Arial" w:cs="Arial"/>
          <w:sz w:val="24"/>
          <w:szCs w:val="24"/>
        </w:rPr>
        <w:t>Massey House</w:t>
      </w:r>
    </w:p>
    <w:p w:rsidR="001135B0" w:rsidRDefault="001135B0" w:rsidP="001135B0">
      <w:pPr>
        <w:pStyle w:val="ListParagraph"/>
        <w:spacing w:after="120"/>
        <w:ind w:left="1077" w:firstLine="363"/>
        <w:contextualSpacing w:val="0"/>
        <w:rPr>
          <w:rFonts w:ascii="Arial" w:hAnsi="Arial" w:cs="Arial"/>
          <w:sz w:val="24"/>
          <w:szCs w:val="24"/>
        </w:rPr>
      </w:pPr>
      <w:r>
        <w:rPr>
          <w:rFonts w:ascii="Arial" w:hAnsi="Arial" w:cs="Arial"/>
          <w:sz w:val="24"/>
          <w:szCs w:val="24"/>
        </w:rPr>
        <w:t>Stormont Estate</w:t>
      </w:r>
    </w:p>
    <w:p w:rsidR="001135B0" w:rsidRDefault="001135B0" w:rsidP="001135B0">
      <w:pPr>
        <w:pStyle w:val="ListParagraph"/>
        <w:spacing w:after="120"/>
        <w:ind w:left="1077" w:firstLine="363"/>
        <w:contextualSpacing w:val="0"/>
        <w:rPr>
          <w:rFonts w:ascii="Arial" w:hAnsi="Arial" w:cs="Arial"/>
          <w:sz w:val="24"/>
          <w:szCs w:val="24"/>
        </w:rPr>
      </w:pPr>
      <w:r>
        <w:rPr>
          <w:rFonts w:ascii="Arial" w:hAnsi="Arial" w:cs="Arial"/>
          <w:sz w:val="24"/>
          <w:szCs w:val="24"/>
        </w:rPr>
        <w:t>Belfast BT4 3SX</w:t>
      </w:r>
    </w:p>
    <w:p w:rsidR="001135B0" w:rsidRDefault="001135B0" w:rsidP="001135B0">
      <w:pPr>
        <w:pStyle w:val="ListParagraph"/>
        <w:spacing w:after="120"/>
        <w:ind w:left="357"/>
        <w:contextualSpacing w:val="0"/>
        <w:rPr>
          <w:rFonts w:ascii="Arial" w:hAnsi="Arial" w:cs="Arial"/>
          <w:sz w:val="24"/>
          <w:szCs w:val="24"/>
        </w:rPr>
      </w:pPr>
      <w:r>
        <w:rPr>
          <w:rFonts w:ascii="Arial" w:hAnsi="Arial" w:cs="Arial"/>
          <w:sz w:val="24"/>
          <w:szCs w:val="24"/>
        </w:rPr>
        <w:t>Phone:</w:t>
      </w:r>
      <w:r>
        <w:rPr>
          <w:rFonts w:ascii="Arial" w:hAnsi="Arial" w:cs="Arial"/>
          <w:sz w:val="24"/>
          <w:szCs w:val="24"/>
        </w:rPr>
        <w:tab/>
        <w:t>(028) 9016 9555</w:t>
      </w:r>
    </w:p>
    <w:p w:rsidR="001135B0" w:rsidRDefault="001135B0" w:rsidP="001135B0">
      <w:pPr>
        <w:pStyle w:val="ListParagraph"/>
        <w:spacing w:after="120"/>
        <w:ind w:left="357"/>
        <w:contextualSpacing w:val="0"/>
        <w:rPr>
          <w:rFonts w:ascii="Arial" w:hAnsi="Arial" w:cs="Arial"/>
          <w:sz w:val="24"/>
          <w:szCs w:val="24"/>
        </w:rPr>
      </w:pPr>
      <w:r>
        <w:rPr>
          <w:rFonts w:ascii="Arial" w:hAnsi="Arial" w:cs="Arial"/>
          <w:sz w:val="24"/>
          <w:szCs w:val="24"/>
        </w:rPr>
        <w:t>Email:</w:t>
      </w:r>
      <w:r>
        <w:rPr>
          <w:rFonts w:ascii="Arial" w:hAnsi="Arial" w:cs="Arial"/>
          <w:sz w:val="24"/>
          <w:szCs w:val="24"/>
        </w:rPr>
        <w:tab/>
        <w:t>VCSEfunding@justice-ni.x.gsi.gov.uk</w:t>
      </w:r>
    </w:p>
    <w:p w:rsidR="001135B0" w:rsidRDefault="001135B0" w:rsidP="001135B0">
      <w:pPr>
        <w:pStyle w:val="ListParagraph"/>
        <w:spacing w:after="120"/>
        <w:ind w:left="357"/>
        <w:contextualSpacing w:val="0"/>
        <w:rPr>
          <w:rFonts w:ascii="Arial" w:hAnsi="Arial" w:cs="Arial"/>
          <w:sz w:val="24"/>
          <w:szCs w:val="24"/>
        </w:rPr>
      </w:pPr>
      <w:r>
        <w:rPr>
          <w:rFonts w:ascii="Arial" w:hAnsi="Arial" w:cs="Arial"/>
          <w:sz w:val="24"/>
          <w:szCs w:val="24"/>
        </w:rPr>
        <w:t>Website:</w:t>
      </w:r>
      <w:r>
        <w:rPr>
          <w:rFonts w:ascii="Arial" w:hAnsi="Arial" w:cs="Arial"/>
          <w:sz w:val="24"/>
          <w:szCs w:val="24"/>
        </w:rPr>
        <w:tab/>
        <w:t>http://www.justice-ni.gov.uk</w:t>
      </w:r>
    </w:p>
    <w:p w:rsidR="001135B0" w:rsidRDefault="001135B0">
      <w:r>
        <w:br w:type="page"/>
      </w:r>
    </w:p>
    <w:p w:rsidR="001135B0" w:rsidRPr="001135B0" w:rsidRDefault="001135B0" w:rsidP="001135B0">
      <w:pPr>
        <w:ind w:left="357"/>
        <w:jc w:val="right"/>
        <w:rPr>
          <w:rFonts w:ascii="Arial" w:eastAsiaTheme="minorHAnsi" w:hAnsi="Arial" w:cs="Arial"/>
          <w:b/>
          <w:sz w:val="24"/>
          <w:szCs w:val="24"/>
        </w:rPr>
      </w:pPr>
      <w:r>
        <w:rPr>
          <w:rFonts w:ascii="Arial" w:eastAsiaTheme="minorHAnsi" w:hAnsi="Arial" w:cs="Arial"/>
          <w:b/>
          <w:sz w:val="24"/>
          <w:szCs w:val="24"/>
        </w:rPr>
        <w:lastRenderedPageBreak/>
        <w:t>Annex A</w:t>
      </w:r>
    </w:p>
    <w:p w:rsidR="001135B0" w:rsidRPr="001135B0" w:rsidRDefault="001135B0" w:rsidP="001135B0">
      <w:pPr>
        <w:ind w:left="357"/>
        <w:rPr>
          <w:rFonts w:ascii="Arial" w:eastAsiaTheme="minorHAnsi" w:hAnsi="Arial" w:cs="Arial"/>
          <w:b/>
          <w:sz w:val="24"/>
          <w:szCs w:val="24"/>
        </w:rPr>
      </w:pPr>
      <w:r w:rsidRPr="001135B0">
        <w:rPr>
          <w:rFonts w:ascii="Arial" w:eastAsiaTheme="minorHAnsi" w:hAnsi="Arial" w:cs="Arial"/>
          <w:b/>
          <w:sz w:val="24"/>
          <w:szCs w:val="24"/>
        </w:rPr>
        <w:t>Consultation Response to Department of Justice: VCSE Funding Model</w:t>
      </w:r>
    </w:p>
    <w:p w:rsidR="001135B0" w:rsidRPr="001135B0" w:rsidRDefault="001135B0" w:rsidP="001135B0">
      <w:pPr>
        <w:ind w:left="357"/>
        <w:rPr>
          <w:rFonts w:ascii="Arial" w:eastAsiaTheme="minorHAnsi" w:hAnsi="Arial" w:cs="Arial"/>
          <w:b/>
          <w:sz w:val="24"/>
          <w:szCs w:val="24"/>
        </w:rPr>
      </w:pPr>
    </w:p>
    <w:p w:rsidR="001135B0" w:rsidRPr="001135B0" w:rsidRDefault="001135B0" w:rsidP="001135B0">
      <w:pPr>
        <w:ind w:left="357"/>
        <w:rPr>
          <w:rFonts w:ascii="Arial" w:eastAsiaTheme="minorHAnsi" w:hAnsi="Arial" w:cs="Arial"/>
          <w:sz w:val="24"/>
          <w:szCs w:val="24"/>
        </w:rPr>
      </w:pPr>
      <w:r w:rsidRPr="001135B0">
        <w:rPr>
          <w:rFonts w:ascii="Arial" w:eastAsiaTheme="minorHAnsi" w:hAnsi="Arial" w:cs="Arial"/>
          <w:b/>
          <w:sz w:val="24"/>
          <w:szCs w:val="24"/>
        </w:rPr>
        <w:t>Name of Organisation</w:t>
      </w:r>
      <w:r w:rsidRPr="001135B0">
        <w:rPr>
          <w:rFonts w:ascii="Arial" w:eastAsiaTheme="minorHAnsi" w:hAnsi="Arial" w:cs="Arial"/>
          <w:sz w:val="24"/>
          <w:szCs w:val="24"/>
        </w:rPr>
        <w:t>:</w:t>
      </w:r>
    </w:p>
    <w:tbl>
      <w:tblPr>
        <w:tblStyle w:val="TableGrid"/>
        <w:tblW w:w="0" w:type="auto"/>
        <w:tblInd w:w="357" w:type="dxa"/>
        <w:tblLook w:val="04A0" w:firstRow="1" w:lastRow="0" w:firstColumn="1" w:lastColumn="0" w:noHBand="0" w:noVBand="1"/>
      </w:tblPr>
      <w:tblGrid>
        <w:gridCol w:w="4457"/>
        <w:gridCol w:w="4428"/>
      </w:tblGrid>
      <w:tr w:rsidR="001135B0" w:rsidRPr="001135B0" w:rsidTr="00D3387D">
        <w:trPr>
          <w:trHeight w:val="454"/>
        </w:trPr>
        <w:tc>
          <w:tcPr>
            <w:tcW w:w="4621" w:type="dxa"/>
            <w:vAlign w:val="center"/>
          </w:tcPr>
          <w:p w:rsidR="001135B0" w:rsidRPr="001135B0" w:rsidRDefault="001135B0" w:rsidP="001135B0">
            <w:pPr>
              <w:rPr>
                <w:rFonts w:ascii="Arial" w:eastAsiaTheme="minorHAnsi" w:hAnsi="Arial" w:cs="Arial"/>
                <w:b/>
                <w:sz w:val="24"/>
                <w:szCs w:val="24"/>
              </w:rPr>
            </w:pPr>
            <w:r w:rsidRPr="001135B0">
              <w:rPr>
                <w:rFonts w:ascii="Arial" w:eastAsiaTheme="minorHAnsi" w:hAnsi="Arial" w:cs="Arial"/>
                <w:b/>
                <w:sz w:val="24"/>
                <w:szCs w:val="24"/>
              </w:rPr>
              <w:t>Consultation Question</w:t>
            </w:r>
          </w:p>
        </w:tc>
        <w:tc>
          <w:tcPr>
            <w:tcW w:w="4621" w:type="dxa"/>
            <w:vAlign w:val="center"/>
          </w:tcPr>
          <w:p w:rsidR="001135B0" w:rsidRPr="001135B0" w:rsidRDefault="001135B0" w:rsidP="001135B0">
            <w:pPr>
              <w:rPr>
                <w:rFonts w:ascii="Arial" w:eastAsiaTheme="minorHAnsi" w:hAnsi="Arial" w:cs="Arial"/>
                <w:b/>
                <w:sz w:val="24"/>
                <w:szCs w:val="24"/>
              </w:rPr>
            </w:pPr>
            <w:r w:rsidRPr="001135B0">
              <w:rPr>
                <w:rFonts w:ascii="Arial" w:eastAsiaTheme="minorHAnsi" w:hAnsi="Arial" w:cs="Arial"/>
                <w:b/>
                <w:sz w:val="24"/>
                <w:szCs w:val="24"/>
              </w:rPr>
              <w:t>Response</w:t>
            </w: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Do the policy aims behind the proposed funding system provide a robust approach to enabling the VCSE to deliver services which support and achieve key departmental objective?</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Will the new funding system better enable the Department to prioritise and direct available funding to key areas to be delivered by the VCSE?</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Will the new funding system provide greater opportunity for wider participation from the VCSE in the commissioning of services?</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Will the new system improve confidence in the consistency and transparency of how funding is awarded?</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Do you consider that embedding a culture of co-design in the new funding system will better harness the knowledge and skills of the VCSE and lead to the design and delivery of more effective services being delivered for the public?</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Do you consider that the use of Full Cost Recovery costing will provide greater opportunity for more VCSE organisations to compete for funding?</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Do you agree that the use of a Full Cost Recovery approach will promote greater understanding within VCSE of the costs involved with delivering specific projects, and therefore ensure VCSE organisations do not deliver services at a loss?</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lastRenderedPageBreak/>
              <w:t>Will the incremental approach to implementation provide sufficient safeguards against negative impacts on VCSE organisations during the three year transitional period?</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Will the funding model provide equality of opportunity to all VCS bodies seeking to bid for funding?</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Do you envisage the implementation of a new funding model will negatively impact on any particular groups?</w:t>
            </w:r>
          </w:p>
        </w:tc>
        <w:tc>
          <w:tcPr>
            <w:tcW w:w="4621" w:type="dxa"/>
          </w:tcPr>
          <w:p w:rsidR="001135B0" w:rsidRPr="001135B0" w:rsidRDefault="001135B0" w:rsidP="001135B0">
            <w:pPr>
              <w:rPr>
                <w:rFonts w:ascii="Arial" w:eastAsiaTheme="minorHAnsi" w:hAnsi="Arial" w:cs="Arial"/>
                <w:sz w:val="24"/>
                <w:szCs w:val="24"/>
              </w:rPr>
            </w:pPr>
          </w:p>
        </w:tc>
      </w:tr>
      <w:tr w:rsidR="001135B0" w:rsidRPr="001135B0" w:rsidTr="00D3387D">
        <w:trPr>
          <w:trHeight w:val="3005"/>
        </w:trPr>
        <w:tc>
          <w:tcPr>
            <w:tcW w:w="4621" w:type="dxa"/>
          </w:tcPr>
          <w:p w:rsidR="001135B0" w:rsidRPr="001135B0" w:rsidRDefault="001135B0" w:rsidP="001135B0">
            <w:pPr>
              <w:spacing w:before="120" w:after="120"/>
              <w:rPr>
                <w:rFonts w:ascii="Arial" w:eastAsiaTheme="minorHAnsi" w:hAnsi="Arial" w:cs="Arial"/>
                <w:sz w:val="24"/>
                <w:szCs w:val="24"/>
              </w:rPr>
            </w:pPr>
            <w:r w:rsidRPr="001135B0">
              <w:rPr>
                <w:rFonts w:ascii="Arial" w:eastAsiaTheme="minorHAnsi" w:hAnsi="Arial" w:cs="Arial"/>
                <w:sz w:val="24"/>
                <w:szCs w:val="24"/>
              </w:rPr>
              <w:t>Please provide other comments and views on the proposed new VCSE Funding System:</w:t>
            </w:r>
          </w:p>
        </w:tc>
        <w:tc>
          <w:tcPr>
            <w:tcW w:w="4621" w:type="dxa"/>
          </w:tcPr>
          <w:p w:rsidR="001135B0" w:rsidRPr="001135B0" w:rsidRDefault="001135B0" w:rsidP="001135B0">
            <w:pPr>
              <w:rPr>
                <w:rFonts w:ascii="Arial" w:eastAsiaTheme="minorHAnsi" w:hAnsi="Arial" w:cs="Arial"/>
                <w:sz w:val="24"/>
                <w:szCs w:val="24"/>
              </w:rPr>
            </w:pPr>
          </w:p>
        </w:tc>
      </w:tr>
    </w:tbl>
    <w:p w:rsidR="001135B0" w:rsidRPr="001135B0" w:rsidRDefault="001135B0" w:rsidP="001135B0">
      <w:pPr>
        <w:ind w:left="357"/>
        <w:rPr>
          <w:rFonts w:ascii="Arial" w:eastAsiaTheme="minorHAnsi" w:hAnsi="Arial" w:cs="Arial"/>
          <w:sz w:val="24"/>
          <w:szCs w:val="24"/>
        </w:rPr>
      </w:pPr>
    </w:p>
    <w:p w:rsidR="001135B0" w:rsidRPr="001135B0" w:rsidRDefault="001135B0" w:rsidP="001135B0">
      <w:pPr>
        <w:ind w:left="357"/>
        <w:rPr>
          <w:rFonts w:ascii="Arial" w:eastAsiaTheme="minorHAnsi" w:hAnsi="Arial" w:cs="Arial"/>
          <w:sz w:val="24"/>
          <w:szCs w:val="24"/>
        </w:rPr>
      </w:pPr>
      <w:r w:rsidRPr="001135B0">
        <w:rPr>
          <w:rFonts w:ascii="Arial" w:eastAsiaTheme="minorHAnsi" w:hAnsi="Arial" w:cs="Arial"/>
          <w:sz w:val="24"/>
          <w:szCs w:val="24"/>
        </w:rPr>
        <w:t>Email to:</w:t>
      </w:r>
      <w:r w:rsidRPr="001135B0">
        <w:rPr>
          <w:rFonts w:ascii="Arial" w:eastAsiaTheme="minorHAnsi" w:hAnsi="Arial" w:cs="Arial"/>
          <w:sz w:val="24"/>
          <w:szCs w:val="24"/>
        </w:rPr>
        <w:tab/>
        <w:t>VCSEfunding@justice-ni.x.gsi.gov.uk</w:t>
      </w:r>
    </w:p>
    <w:p w:rsidR="001F7945" w:rsidRDefault="001F7945">
      <w:bookmarkStart w:id="0" w:name="_GoBack"/>
      <w:bookmarkEnd w:id="0"/>
    </w:p>
    <w:sectPr w:rsidR="001F7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573C"/>
    <w:multiLevelType w:val="hybridMultilevel"/>
    <w:tmpl w:val="60F65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B0"/>
    <w:rsid w:val="001135B0"/>
    <w:rsid w:val="001F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0"/>
    <w:pPr>
      <w:ind w:left="720"/>
      <w:contextualSpacing/>
    </w:pPr>
  </w:style>
  <w:style w:type="table" w:styleId="TableGrid">
    <w:name w:val="Table Grid"/>
    <w:basedOn w:val="TableNormal"/>
    <w:uiPriority w:val="59"/>
    <w:rsid w:val="0011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B0"/>
    <w:pPr>
      <w:ind w:left="720"/>
      <w:contextualSpacing/>
    </w:pPr>
  </w:style>
  <w:style w:type="table" w:styleId="TableGrid">
    <w:name w:val="Table Grid"/>
    <w:basedOn w:val="TableNormal"/>
    <w:uiPriority w:val="59"/>
    <w:rsid w:val="0011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2582</Characters>
  <Application>Microsoft Office Word</Application>
  <DocSecurity>0</DocSecurity>
  <Lines>93</Lines>
  <Paragraphs>30</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locwin7adm</dc:creator>
  <cp:keywords/>
  <dc:description/>
  <cp:lastModifiedBy>locwin7adm</cp:lastModifiedBy>
  <cp:revision>1</cp:revision>
  <dcterms:created xsi:type="dcterms:W3CDTF">2016-07-04T08:54:00Z</dcterms:created>
  <dcterms:modified xsi:type="dcterms:W3CDTF">2016-07-04T08:59:00Z</dcterms:modified>
</cp:coreProperties>
</file>