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DE7A" w14:textId="77777777" w:rsidR="00FE2F58" w:rsidRDefault="00FE2F58" w:rsidP="00FE2F58">
      <w:pPr>
        <w:jc w:val="center"/>
        <w:rPr>
          <w:rFonts w:ascii="Arial" w:hAnsi="Arial" w:cs="Arial"/>
          <w:b/>
          <w:color w:val="002060"/>
          <w:sz w:val="52"/>
          <w:szCs w:val="44"/>
        </w:rPr>
      </w:pPr>
      <w:r w:rsidRPr="00295B5A">
        <w:rPr>
          <w:rFonts w:ascii="Arial" w:hAnsi="Arial" w:cs="Arial"/>
          <w:b/>
          <w:noProof/>
          <w:color w:val="002060"/>
          <w:sz w:val="52"/>
          <w:szCs w:val="44"/>
          <w:lang w:eastAsia="en-GB"/>
        </w:rPr>
        <w:drawing>
          <wp:inline distT="0" distB="0" distL="0" distR="0" wp14:anchorId="127C583C" wp14:editId="4751C2C0">
            <wp:extent cx="5731510" cy="1517356"/>
            <wp:effectExtent l="0" t="0" r="2540" b="6985"/>
            <wp:docPr id="2" name="Picture 2" descr="DoJ logo with Irish and Ulster Scots translations"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psten\AppData\Local\Microsoft\Windows\INetCache\Content.Outlook\PPOSLCPJ\doj-logo-ius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517356"/>
                    </a:xfrm>
                    <a:prstGeom prst="rect">
                      <a:avLst/>
                    </a:prstGeom>
                    <a:noFill/>
                    <a:ln>
                      <a:noFill/>
                    </a:ln>
                  </pic:spPr>
                </pic:pic>
              </a:graphicData>
            </a:graphic>
          </wp:inline>
        </w:drawing>
      </w:r>
    </w:p>
    <w:p w14:paraId="66E2D498" w14:textId="77777777" w:rsidR="00FE2F58" w:rsidRDefault="00FE2F58" w:rsidP="00FE2F58">
      <w:pPr>
        <w:contextualSpacing/>
        <w:rPr>
          <w:rFonts w:ascii="Arial" w:hAnsi="Arial" w:cs="Arial"/>
          <w:color w:val="002060"/>
          <w:sz w:val="24"/>
          <w:szCs w:val="24"/>
        </w:rPr>
      </w:pPr>
    </w:p>
    <w:p w14:paraId="2702C91A" w14:textId="77777777" w:rsidR="00FE2F58" w:rsidRPr="00295B5A" w:rsidRDefault="00FE2F58" w:rsidP="00FE2F58">
      <w:pPr>
        <w:rPr>
          <w:rFonts w:ascii="Arial" w:hAnsi="Arial" w:cs="Arial"/>
          <w:color w:val="002060"/>
          <w:sz w:val="24"/>
          <w:szCs w:val="24"/>
        </w:rPr>
      </w:pPr>
    </w:p>
    <w:p w14:paraId="30E9A3EB" w14:textId="19B2CEA9" w:rsidR="00FE2F58" w:rsidRPr="00506892" w:rsidRDefault="00FE2F58" w:rsidP="00FE2F58">
      <w:pPr>
        <w:jc w:val="center"/>
        <w:rPr>
          <w:rFonts w:ascii="Arial" w:hAnsi="Arial" w:cs="Arial"/>
          <w:b/>
          <w:color w:val="002060"/>
          <w:sz w:val="52"/>
          <w:szCs w:val="44"/>
        </w:rPr>
      </w:pPr>
      <w:r>
        <w:rPr>
          <w:rFonts w:ascii="Arial" w:hAnsi="Arial" w:cs="Arial"/>
          <w:b/>
          <w:color w:val="002060"/>
          <w:sz w:val="52"/>
          <w:szCs w:val="44"/>
        </w:rPr>
        <w:t xml:space="preserve">Parameters for the 2024 review of the </w:t>
      </w:r>
      <w:r w:rsidR="00E9417C">
        <w:rPr>
          <w:rFonts w:ascii="Arial" w:hAnsi="Arial" w:cs="Arial"/>
          <w:b/>
          <w:color w:val="002060"/>
          <w:sz w:val="52"/>
          <w:szCs w:val="44"/>
        </w:rPr>
        <w:t>personal injury discount rate for Northern Ireland</w:t>
      </w:r>
    </w:p>
    <w:p w14:paraId="0E422E10" w14:textId="77777777" w:rsidR="00FE2F58" w:rsidRPr="00295B5A" w:rsidRDefault="00FE2F58" w:rsidP="00FE2F58">
      <w:pPr>
        <w:jc w:val="center"/>
        <w:rPr>
          <w:rFonts w:ascii="Arial" w:hAnsi="Arial" w:cs="Arial"/>
          <w:color w:val="002060"/>
          <w:sz w:val="24"/>
          <w:szCs w:val="24"/>
        </w:rPr>
      </w:pPr>
    </w:p>
    <w:p w14:paraId="1BEDDE6D" w14:textId="77777777" w:rsidR="00FE2F58" w:rsidRPr="00076F07" w:rsidRDefault="00FE2F58" w:rsidP="00FE2F58">
      <w:pPr>
        <w:jc w:val="center"/>
        <w:rPr>
          <w:rFonts w:ascii="Arial" w:hAnsi="Arial" w:cs="Arial"/>
          <w:color w:val="002060"/>
          <w:sz w:val="24"/>
          <w:szCs w:val="24"/>
        </w:rPr>
      </w:pPr>
    </w:p>
    <w:p w14:paraId="0F7AC16F" w14:textId="358AFB68" w:rsidR="00FE2F58" w:rsidRDefault="00E9417C" w:rsidP="00FE2F58">
      <w:pPr>
        <w:jc w:val="center"/>
        <w:rPr>
          <w:rFonts w:ascii="Arial" w:hAnsi="Arial" w:cs="Arial"/>
          <w:b/>
          <w:color w:val="002060"/>
          <w:sz w:val="52"/>
          <w:szCs w:val="44"/>
        </w:rPr>
      </w:pPr>
      <w:r>
        <w:rPr>
          <w:rFonts w:ascii="Arial" w:hAnsi="Arial" w:cs="Arial"/>
          <w:b/>
          <w:color w:val="002060"/>
          <w:sz w:val="52"/>
          <w:szCs w:val="44"/>
        </w:rPr>
        <w:t xml:space="preserve">Response to </w:t>
      </w:r>
      <w:r w:rsidR="00FE2F58">
        <w:rPr>
          <w:rFonts w:ascii="Arial" w:hAnsi="Arial" w:cs="Arial"/>
          <w:b/>
          <w:color w:val="002060"/>
          <w:sz w:val="52"/>
          <w:szCs w:val="44"/>
        </w:rPr>
        <w:t xml:space="preserve">consultation </w:t>
      </w:r>
      <w:r w:rsidR="00200A64">
        <w:rPr>
          <w:rFonts w:ascii="Arial" w:hAnsi="Arial" w:cs="Arial"/>
          <w:b/>
          <w:color w:val="002060"/>
          <w:sz w:val="52"/>
          <w:szCs w:val="44"/>
        </w:rPr>
        <w:t>and next steps</w:t>
      </w:r>
    </w:p>
    <w:p w14:paraId="735B7DE3" w14:textId="77777777" w:rsidR="00FE2F58" w:rsidRDefault="00FE2F58" w:rsidP="00FE2F58">
      <w:pPr>
        <w:jc w:val="center"/>
        <w:rPr>
          <w:rFonts w:ascii="Arial" w:hAnsi="Arial" w:cs="Arial"/>
          <w:color w:val="002060"/>
          <w:sz w:val="24"/>
          <w:szCs w:val="24"/>
        </w:rPr>
      </w:pPr>
    </w:p>
    <w:p w14:paraId="17F96102" w14:textId="77777777" w:rsidR="00FE2F58" w:rsidRPr="00FC3A61" w:rsidRDefault="00FE2F58" w:rsidP="00FE2F58">
      <w:pPr>
        <w:jc w:val="center"/>
        <w:rPr>
          <w:rFonts w:ascii="Arial" w:hAnsi="Arial" w:cs="Arial"/>
          <w:color w:val="002060"/>
          <w:sz w:val="24"/>
          <w:szCs w:val="24"/>
        </w:rPr>
      </w:pPr>
    </w:p>
    <w:p w14:paraId="550B40CC" w14:textId="3E71EA53" w:rsidR="00FE2F58" w:rsidRPr="00076F07" w:rsidRDefault="00EF3D24" w:rsidP="00FE2F58">
      <w:pPr>
        <w:jc w:val="center"/>
        <w:rPr>
          <w:rFonts w:ascii="Arial" w:hAnsi="Arial" w:cs="Arial"/>
          <w:b/>
          <w:color w:val="002060"/>
          <w:sz w:val="48"/>
          <w:szCs w:val="48"/>
        </w:rPr>
      </w:pPr>
      <w:r w:rsidRPr="00C92A97">
        <w:rPr>
          <w:rFonts w:ascii="Arial" w:hAnsi="Arial" w:cs="Arial"/>
          <w:b/>
          <w:color w:val="002060"/>
          <w:sz w:val="48"/>
          <w:szCs w:val="48"/>
        </w:rPr>
        <w:t>April</w:t>
      </w:r>
      <w:r w:rsidR="00E9417C" w:rsidRPr="00C92A97">
        <w:rPr>
          <w:rFonts w:ascii="Arial" w:hAnsi="Arial" w:cs="Arial"/>
          <w:b/>
          <w:color w:val="002060"/>
          <w:sz w:val="48"/>
          <w:szCs w:val="48"/>
        </w:rPr>
        <w:t xml:space="preserve"> </w:t>
      </w:r>
      <w:r w:rsidR="00FE2F58" w:rsidRPr="00C92A97">
        <w:rPr>
          <w:rFonts w:ascii="Arial" w:hAnsi="Arial" w:cs="Arial"/>
          <w:b/>
          <w:color w:val="002060"/>
          <w:sz w:val="48"/>
          <w:szCs w:val="48"/>
        </w:rPr>
        <w:t>202</w:t>
      </w:r>
      <w:r w:rsidR="00E9417C" w:rsidRPr="00C92A97">
        <w:rPr>
          <w:rFonts w:ascii="Arial" w:hAnsi="Arial" w:cs="Arial"/>
          <w:b/>
          <w:color w:val="002060"/>
          <w:sz w:val="48"/>
          <w:szCs w:val="48"/>
        </w:rPr>
        <w:t>4</w:t>
      </w:r>
    </w:p>
    <w:p w14:paraId="2BC1BF5B" w14:textId="77777777" w:rsidR="00FE2F58" w:rsidRPr="008D06D3" w:rsidRDefault="00FE2F58" w:rsidP="00FE2F58">
      <w:pPr>
        <w:jc w:val="both"/>
        <w:rPr>
          <w:rFonts w:ascii="Arial" w:hAnsi="Arial" w:cs="Arial"/>
          <w:sz w:val="24"/>
        </w:rPr>
      </w:pPr>
    </w:p>
    <w:p w14:paraId="42D6D974" w14:textId="77777777" w:rsidR="00FE2F58" w:rsidRDefault="00FE2F58" w:rsidP="00FE2F58">
      <w:pPr>
        <w:rPr>
          <w:rFonts w:ascii="Arial" w:hAnsi="Arial" w:cs="Arial"/>
          <w:b/>
          <w:sz w:val="24"/>
          <w:szCs w:val="24"/>
        </w:rPr>
      </w:pPr>
      <w:r>
        <w:rPr>
          <w:rFonts w:ascii="Arial" w:hAnsi="Arial" w:cs="Arial"/>
          <w:b/>
          <w:sz w:val="24"/>
          <w:szCs w:val="24"/>
        </w:rPr>
        <w:br w:type="page"/>
      </w:r>
    </w:p>
    <w:p w14:paraId="7007BAB0" w14:textId="77777777" w:rsidR="00FE2F58" w:rsidRPr="009C3328" w:rsidRDefault="00FE2F58" w:rsidP="00FE2F58">
      <w:pPr>
        <w:pStyle w:val="Heading1"/>
      </w:pPr>
      <w:r w:rsidRPr="009C3328">
        <w:lastRenderedPageBreak/>
        <w:t>1. Introduction</w:t>
      </w:r>
    </w:p>
    <w:p w14:paraId="7391EFF7" w14:textId="77777777" w:rsidR="00FE2F58" w:rsidRPr="00BD1BA5" w:rsidRDefault="00FE2F58" w:rsidP="00FE2F58">
      <w:pPr>
        <w:spacing w:line="360" w:lineRule="auto"/>
        <w:jc w:val="both"/>
        <w:rPr>
          <w:rFonts w:ascii="Arial" w:hAnsi="Arial" w:cs="Arial"/>
          <w:sz w:val="24"/>
          <w:szCs w:val="32"/>
        </w:rPr>
      </w:pPr>
    </w:p>
    <w:p w14:paraId="43053C4C" w14:textId="668BFB39" w:rsidR="00E9417C" w:rsidRDefault="00E9417C" w:rsidP="00FE2F58">
      <w:pPr>
        <w:pStyle w:val="ListParagraph"/>
        <w:numPr>
          <w:ilvl w:val="0"/>
          <w:numId w:val="3"/>
        </w:numPr>
        <w:spacing w:line="360" w:lineRule="auto"/>
        <w:ind w:left="709" w:hanging="709"/>
        <w:contextualSpacing w:val="0"/>
        <w:jc w:val="both"/>
        <w:rPr>
          <w:rFonts w:ascii="Arial" w:hAnsi="Arial" w:cs="Arial"/>
          <w:sz w:val="24"/>
          <w:szCs w:val="24"/>
        </w:rPr>
      </w:pPr>
      <w:r>
        <w:rPr>
          <w:rFonts w:ascii="Arial" w:hAnsi="Arial" w:cs="Arial"/>
          <w:sz w:val="24"/>
          <w:szCs w:val="24"/>
        </w:rPr>
        <w:t xml:space="preserve">The personal injury discount rate is </w:t>
      </w:r>
      <w:r w:rsidR="00865E3E">
        <w:rPr>
          <w:rFonts w:ascii="Arial" w:hAnsi="Arial" w:cs="Arial"/>
          <w:sz w:val="24"/>
          <w:szCs w:val="24"/>
        </w:rPr>
        <w:t>applied by courts to</w:t>
      </w:r>
      <w:r>
        <w:rPr>
          <w:rFonts w:ascii="Arial" w:hAnsi="Arial" w:cs="Arial"/>
          <w:sz w:val="24"/>
          <w:szCs w:val="24"/>
        </w:rPr>
        <w:t xml:space="preserve"> adjust a</w:t>
      </w:r>
      <w:r w:rsidR="00865E3E">
        <w:rPr>
          <w:rFonts w:ascii="Arial" w:hAnsi="Arial" w:cs="Arial"/>
          <w:sz w:val="24"/>
          <w:szCs w:val="24"/>
        </w:rPr>
        <w:t xml:space="preserve"> lump sum</w:t>
      </w:r>
      <w:r>
        <w:rPr>
          <w:rFonts w:ascii="Arial" w:hAnsi="Arial" w:cs="Arial"/>
          <w:sz w:val="24"/>
          <w:szCs w:val="24"/>
        </w:rPr>
        <w:t xml:space="preserve"> award of damages</w:t>
      </w:r>
      <w:r w:rsidR="00865E3E">
        <w:rPr>
          <w:rFonts w:ascii="Arial" w:hAnsi="Arial" w:cs="Arial"/>
          <w:sz w:val="24"/>
          <w:szCs w:val="24"/>
        </w:rPr>
        <w:t xml:space="preserve"> for future financial loss</w:t>
      </w:r>
      <w:r w:rsidR="000B212E">
        <w:rPr>
          <w:rFonts w:ascii="Arial" w:hAnsi="Arial" w:cs="Arial"/>
          <w:sz w:val="24"/>
          <w:szCs w:val="24"/>
        </w:rPr>
        <w:t>,</w:t>
      </w:r>
      <w:r>
        <w:rPr>
          <w:rFonts w:ascii="Arial" w:hAnsi="Arial" w:cs="Arial"/>
          <w:sz w:val="24"/>
          <w:szCs w:val="24"/>
        </w:rPr>
        <w:t xml:space="preserve"> to reflect the </w:t>
      </w:r>
      <w:r w:rsidR="00865E3E">
        <w:rPr>
          <w:rFonts w:ascii="Arial" w:hAnsi="Arial" w:cs="Arial"/>
          <w:sz w:val="24"/>
          <w:szCs w:val="24"/>
        </w:rPr>
        <w:t>return that can be earned from invest</w:t>
      </w:r>
      <w:r w:rsidR="006D0547">
        <w:rPr>
          <w:rFonts w:ascii="Arial" w:hAnsi="Arial" w:cs="Arial"/>
          <w:sz w:val="24"/>
          <w:szCs w:val="24"/>
        </w:rPr>
        <w:t>ing it</w:t>
      </w:r>
      <w:r>
        <w:rPr>
          <w:rFonts w:ascii="Arial" w:hAnsi="Arial" w:cs="Arial"/>
          <w:sz w:val="24"/>
          <w:szCs w:val="24"/>
        </w:rPr>
        <w:t>.</w:t>
      </w:r>
      <w:r w:rsidR="00865E3E">
        <w:rPr>
          <w:rFonts w:ascii="Arial" w:hAnsi="Arial" w:cs="Arial"/>
          <w:sz w:val="24"/>
          <w:szCs w:val="24"/>
        </w:rPr>
        <w:t xml:space="preserve"> This is to give effect to the legal principle that a claimant should be fully compensated</w:t>
      </w:r>
      <w:r w:rsidR="00CD4009">
        <w:rPr>
          <w:rFonts w:ascii="Arial" w:hAnsi="Arial" w:cs="Arial"/>
          <w:sz w:val="24"/>
          <w:szCs w:val="24"/>
        </w:rPr>
        <w:t xml:space="preserve"> </w:t>
      </w:r>
      <w:r w:rsidR="00865E3E">
        <w:rPr>
          <w:rFonts w:ascii="Arial" w:hAnsi="Arial" w:cs="Arial"/>
          <w:sz w:val="24"/>
          <w:szCs w:val="24"/>
        </w:rPr>
        <w:t>but neither more nor less.</w:t>
      </w:r>
      <w:r>
        <w:rPr>
          <w:rFonts w:ascii="Arial" w:hAnsi="Arial" w:cs="Arial"/>
          <w:sz w:val="24"/>
          <w:szCs w:val="24"/>
        </w:rPr>
        <w:t xml:space="preserve"> </w:t>
      </w:r>
    </w:p>
    <w:p w14:paraId="4D6994AC" w14:textId="019FB1B9" w:rsidR="00E9417C" w:rsidRDefault="00865E3E" w:rsidP="00E9417C">
      <w:pPr>
        <w:pStyle w:val="ListParagraph"/>
        <w:numPr>
          <w:ilvl w:val="0"/>
          <w:numId w:val="3"/>
        </w:numPr>
        <w:spacing w:line="360" w:lineRule="auto"/>
        <w:ind w:left="709" w:hanging="709"/>
        <w:contextualSpacing w:val="0"/>
        <w:jc w:val="both"/>
        <w:rPr>
          <w:rFonts w:ascii="Arial" w:hAnsi="Arial" w:cs="Arial"/>
          <w:sz w:val="24"/>
          <w:szCs w:val="24"/>
        </w:rPr>
      </w:pPr>
      <w:r>
        <w:rPr>
          <w:rFonts w:ascii="Arial" w:hAnsi="Arial" w:cs="Arial"/>
          <w:sz w:val="24"/>
          <w:szCs w:val="24"/>
        </w:rPr>
        <w:t>T</w:t>
      </w:r>
      <w:r w:rsidR="00855D59">
        <w:rPr>
          <w:rFonts w:ascii="Arial" w:hAnsi="Arial" w:cs="Arial"/>
          <w:sz w:val="24"/>
          <w:szCs w:val="24"/>
        </w:rPr>
        <w:t>he Damages</w:t>
      </w:r>
      <w:r>
        <w:rPr>
          <w:rFonts w:ascii="Arial" w:hAnsi="Arial" w:cs="Arial"/>
          <w:sz w:val="24"/>
          <w:szCs w:val="24"/>
        </w:rPr>
        <w:t xml:space="preserve"> (Return on Investment) Act (Northern Ireland) 2022</w:t>
      </w:r>
      <w:r w:rsidR="00855D59">
        <w:rPr>
          <w:rFonts w:ascii="Arial" w:hAnsi="Arial" w:cs="Arial"/>
          <w:sz w:val="24"/>
          <w:szCs w:val="24"/>
        </w:rPr>
        <w:t xml:space="preserve"> amended the Damages Act 1996 to provide for</w:t>
      </w:r>
      <w:r w:rsidR="0065549D">
        <w:rPr>
          <w:rFonts w:ascii="Arial" w:hAnsi="Arial" w:cs="Arial"/>
          <w:sz w:val="24"/>
          <w:szCs w:val="24"/>
        </w:rPr>
        <w:t xml:space="preserve"> a</w:t>
      </w:r>
      <w:r w:rsidR="00375555">
        <w:rPr>
          <w:rFonts w:ascii="Arial" w:hAnsi="Arial" w:cs="Arial"/>
          <w:sz w:val="24"/>
          <w:szCs w:val="24"/>
        </w:rPr>
        <w:t xml:space="preserve"> statutory methodology for setting the rate, a timeframe for regular reviews, and to assign the task of reviewing and setting the rate to the Government Actuary</w:t>
      </w:r>
      <w:r w:rsidR="00E9417C">
        <w:rPr>
          <w:rFonts w:ascii="Arial" w:hAnsi="Arial" w:cs="Arial"/>
          <w:sz w:val="24"/>
          <w:szCs w:val="24"/>
        </w:rPr>
        <w:t xml:space="preserve">. </w:t>
      </w:r>
      <w:r w:rsidR="00E9417C" w:rsidRPr="00E9417C">
        <w:rPr>
          <w:rFonts w:ascii="Arial" w:hAnsi="Arial" w:cs="Arial"/>
          <w:sz w:val="24"/>
          <w:szCs w:val="24"/>
        </w:rPr>
        <w:t>The current</w:t>
      </w:r>
      <w:r w:rsidR="0065549D">
        <w:rPr>
          <w:rFonts w:ascii="Arial" w:hAnsi="Arial" w:cs="Arial"/>
          <w:sz w:val="24"/>
          <w:szCs w:val="24"/>
        </w:rPr>
        <w:t xml:space="preserve"> discount</w:t>
      </w:r>
      <w:r w:rsidR="00E9417C" w:rsidRPr="00E9417C">
        <w:rPr>
          <w:rFonts w:ascii="Arial" w:hAnsi="Arial" w:cs="Arial"/>
          <w:sz w:val="24"/>
          <w:szCs w:val="24"/>
        </w:rPr>
        <w:t xml:space="preserve"> rate for Northern Ireland </w:t>
      </w:r>
      <w:r w:rsidR="00E9417C">
        <w:rPr>
          <w:rFonts w:ascii="Arial" w:hAnsi="Arial" w:cs="Arial"/>
          <w:sz w:val="24"/>
          <w:szCs w:val="24"/>
        </w:rPr>
        <w:t>of</w:t>
      </w:r>
      <w:r w:rsidR="00E9417C" w:rsidRPr="00E9417C">
        <w:rPr>
          <w:rFonts w:ascii="Arial" w:hAnsi="Arial" w:cs="Arial"/>
          <w:sz w:val="24"/>
          <w:szCs w:val="24"/>
        </w:rPr>
        <w:t xml:space="preserve"> –1.5% was set in March 2022</w:t>
      </w:r>
      <w:r w:rsidR="00375555">
        <w:rPr>
          <w:rFonts w:ascii="Arial" w:hAnsi="Arial" w:cs="Arial"/>
          <w:sz w:val="24"/>
          <w:szCs w:val="24"/>
        </w:rPr>
        <w:t xml:space="preserve">, the first time the rate </w:t>
      </w:r>
      <w:r w:rsidR="0065549D">
        <w:rPr>
          <w:rFonts w:ascii="Arial" w:hAnsi="Arial" w:cs="Arial"/>
          <w:sz w:val="24"/>
          <w:szCs w:val="24"/>
        </w:rPr>
        <w:t>had been</w:t>
      </w:r>
      <w:r w:rsidR="00375555">
        <w:rPr>
          <w:rFonts w:ascii="Arial" w:hAnsi="Arial" w:cs="Arial"/>
          <w:sz w:val="24"/>
          <w:szCs w:val="24"/>
        </w:rPr>
        <w:t xml:space="preserve"> set under the</w:t>
      </w:r>
      <w:r w:rsidR="00855D59">
        <w:rPr>
          <w:rFonts w:ascii="Arial" w:hAnsi="Arial" w:cs="Arial"/>
          <w:sz w:val="24"/>
          <w:szCs w:val="24"/>
        </w:rPr>
        <w:t xml:space="preserve"> new</w:t>
      </w:r>
      <w:r w:rsidR="00375555">
        <w:rPr>
          <w:rFonts w:ascii="Arial" w:hAnsi="Arial" w:cs="Arial"/>
          <w:sz w:val="24"/>
          <w:szCs w:val="24"/>
        </w:rPr>
        <w:t xml:space="preserve"> statutory methodology</w:t>
      </w:r>
      <w:r w:rsidR="00E9417C" w:rsidRPr="00E9417C">
        <w:rPr>
          <w:rFonts w:ascii="Arial" w:hAnsi="Arial" w:cs="Arial"/>
          <w:sz w:val="24"/>
          <w:szCs w:val="24"/>
        </w:rPr>
        <w:t>.</w:t>
      </w:r>
      <w:r w:rsidR="00E9417C">
        <w:rPr>
          <w:rFonts w:ascii="Arial" w:hAnsi="Arial" w:cs="Arial"/>
          <w:sz w:val="24"/>
          <w:szCs w:val="24"/>
        </w:rPr>
        <w:t xml:space="preserve"> T</w:t>
      </w:r>
      <w:r w:rsidR="00E9417C" w:rsidRPr="00E9417C">
        <w:rPr>
          <w:rFonts w:ascii="Arial" w:hAnsi="Arial" w:cs="Arial"/>
          <w:sz w:val="24"/>
          <w:szCs w:val="24"/>
        </w:rPr>
        <w:t xml:space="preserve">he </w:t>
      </w:r>
      <w:r w:rsidR="00132A3C">
        <w:rPr>
          <w:rFonts w:ascii="Arial" w:hAnsi="Arial" w:cs="Arial"/>
          <w:sz w:val="24"/>
          <w:szCs w:val="24"/>
        </w:rPr>
        <w:t>Act</w:t>
      </w:r>
      <w:r w:rsidR="00E9417C">
        <w:rPr>
          <w:rFonts w:ascii="Arial" w:hAnsi="Arial" w:cs="Arial"/>
          <w:sz w:val="24"/>
          <w:szCs w:val="24"/>
        </w:rPr>
        <w:t xml:space="preserve"> requires </w:t>
      </w:r>
      <w:r w:rsidR="00E9417C" w:rsidRPr="00E9417C">
        <w:rPr>
          <w:rFonts w:ascii="Arial" w:hAnsi="Arial" w:cs="Arial"/>
          <w:sz w:val="24"/>
          <w:szCs w:val="24"/>
        </w:rPr>
        <w:t xml:space="preserve">the Government Actuary </w:t>
      </w:r>
      <w:r w:rsidR="00E9417C">
        <w:rPr>
          <w:rFonts w:ascii="Arial" w:hAnsi="Arial" w:cs="Arial"/>
          <w:sz w:val="24"/>
          <w:szCs w:val="24"/>
        </w:rPr>
        <w:t xml:space="preserve">to </w:t>
      </w:r>
      <w:r w:rsidR="00E9417C" w:rsidRPr="00E9417C">
        <w:rPr>
          <w:rFonts w:ascii="Arial" w:hAnsi="Arial" w:cs="Arial"/>
          <w:sz w:val="24"/>
          <w:szCs w:val="24"/>
        </w:rPr>
        <w:t xml:space="preserve">begin </w:t>
      </w:r>
      <w:r>
        <w:rPr>
          <w:rFonts w:ascii="Arial" w:hAnsi="Arial" w:cs="Arial"/>
          <w:sz w:val="24"/>
          <w:szCs w:val="24"/>
        </w:rPr>
        <w:t>the next</w:t>
      </w:r>
      <w:r w:rsidR="00E9417C" w:rsidRPr="00E9417C">
        <w:rPr>
          <w:rFonts w:ascii="Arial" w:hAnsi="Arial" w:cs="Arial"/>
          <w:sz w:val="24"/>
          <w:szCs w:val="24"/>
        </w:rPr>
        <w:t xml:space="preserve"> review</w:t>
      </w:r>
      <w:r w:rsidR="00375555">
        <w:rPr>
          <w:rFonts w:ascii="Arial" w:hAnsi="Arial" w:cs="Arial"/>
          <w:sz w:val="24"/>
          <w:szCs w:val="24"/>
        </w:rPr>
        <w:t xml:space="preserve"> of the rate</w:t>
      </w:r>
      <w:r w:rsidR="00E9417C" w:rsidRPr="00E9417C">
        <w:rPr>
          <w:rFonts w:ascii="Arial" w:hAnsi="Arial" w:cs="Arial"/>
          <w:sz w:val="24"/>
          <w:szCs w:val="24"/>
        </w:rPr>
        <w:t xml:space="preserve"> no later than 1 July 2024</w:t>
      </w:r>
      <w:r w:rsidR="0065549D">
        <w:rPr>
          <w:rFonts w:ascii="Arial" w:hAnsi="Arial" w:cs="Arial"/>
          <w:sz w:val="24"/>
          <w:szCs w:val="24"/>
        </w:rPr>
        <w:t>, which will</w:t>
      </w:r>
      <w:r w:rsidR="00375555">
        <w:rPr>
          <w:rFonts w:ascii="Arial" w:hAnsi="Arial" w:cs="Arial"/>
          <w:sz w:val="24"/>
          <w:szCs w:val="24"/>
        </w:rPr>
        <w:t xml:space="preserve"> align</w:t>
      </w:r>
      <w:r w:rsidR="0065549D">
        <w:rPr>
          <w:rFonts w:ascii="Arial" w:hAnsi="Arial" w:cs="Arial"/>
          <w:sz w:val="24"/>
          <w:szCs w:val="24"/>
        </w:rPr>
        <w:t xml:space="preserve"> reviews in</w:t>
      </w:r>
      <w:r w:rsidR="00375555">
        <w:rPr>
          <w:rFonts w:ascii="Arial" w:hAnsi="Arial" w:cs="Arial"/>
          <w:sz w:val="24"/>
          <w:szCs w:val="24"/>
        </w:rPr>
        <w:t xml:space="preserve"> Northern Ireland with the cycle of regular</w:t>
      </w:r>
      <w:r w:rsidR="00855D59">
        <w:rPr>
          <w:rFonts w:ascii="Arial" w:hAnsi="Arial" w:cs="Arial"/>
          <w:sz w:val="24"/>
          <w:szCs w:val="24"/>
        </w:rPr>
        <w:t xml:space="preserve"> five</w:t>
      </w:r>
      <w:r w:rsidR="000B212E">
        <w:rPr>
          <w:rFonts w:ascii="Arial" w:hAnsi="Arial" w:cs="Arial"/>
          <w:sz w:val="24"/>
          <w:szCs w:val="24"/>
        </w:rPr>
        <w:t>-</w:t>
      </w:r>
      <w:r w:rsidR="00855D59">
        <w:rPr>
          <w:rFonts w:ascii="Arial" w:hAnsi="Arial" w:cs="Arial"/>
          <w:sz w:val="24"/>
          <w:szCs w:val="24"/>
        </w:rPr>
        <w:t>yearly</w:t>
      </w:r>
      <w:r w:rsidR="00375555">
        <w:rPr>
          <w:rFonts w:ascii="Arial" w:hAnsi="Arial" w:cs="Arial"/>
          <w:sz w:val="24"/>
          <w:szCs w:val="24"/>
        </w:rPr>
        <w:t xml:space="preserve"> reviews in Scotland</w:t>
      </w:r>
      <w:r w:rsidR="00E9417C" w:rsidRPr="00E9417C">
        <w:rPr>
          <w:rFonts w:ascii="Arial" w:hAnsi="Arial" w:cs="Arial"/>
          <w:sz w:val="24"/>
          <w:szCs w:val="24"/>
        </w:rPr>
        <w:t xml:space="preserve">. </w:t>
      </w:r>
    </w:p>
    <w:p w14:paraId="5B02651A" w14:textId="2AD53C91" w:rsidR="00E9417C" w:rsidRDefault="00132A3C" w:rsidP="00E9417C">
      <w:pPr>
        <w:pStyle w:val="ListParagraph"/>
        <w:numPr>
          <w:ilvl w:val="0"/>
          <w:numId w:val="3"/>
        </w:numPr>
        <w:spacing w:line="360" w:lineRule="auto"/>
        <w:ind w:left="709" w:hanging="709"/>
        <w:contextualSpacing w:val="0"/>
        <w:jc w:val="both"/>
        <w:rPr>
          <w:rFonts w:ascii="Arial" w:hAnsi="Arial" w:cs="Arial"/>
          <w:sz w:val="24"/>
          <w:szCs w:val="24"/>
        </w:rPr>
      </w:pPr>
      <w:r w:rsidRPr="00132A3C">
        <w:rPr>
          <w:rFonts w:ascii="Arial" w:hAnsi="Arial" w:cs="Arial"/>
          <w:sz w:val="24"/>
          <w:szCs w:val="24"/>
        </w:rPr>
        <w:t>The method</w:t>
      </w:r>
      <w:r w:rsidR="00375555">
        <w:rPr>
          <w:rFonts w:ascii="Arial" w:hAnsi="Arial" w:cs="Arial"/>
          <w:sz w:val="24"/>
          <w:szCs w:val="24"/>
        </w:rPr>
        <w:t>ology prescribed in the Act</w:t>
      </w:r>
      <w:r w:rsidR="000B212E">
        <w:rPr>
          <w:rFonts w:ascii="Arial" w:hAnsi="Arial" w:cs="Arial"/>
          <w:sz w:val="24"/>
          <w:szCs w:val="24"/>
        </w:rPr>
        <w:t>,</w:t>
      </w:r>
      <w:r w:rsidR="00375555">
        <w:rPr>
          <w:rFonts w:ascii="Arial" w:hAnsi="Arial" w:cs="Arial"/>
          <w:sz w:val="24"/>
          <w:szCs w:val="24"/>
        </w:rPr>
        <w:t xml:space="preserve"> which the</w:t>
      </w:r>
      <w:r w:rsidR="00E13CCC">
        <w:rPr>
          <w:rFonts w:ascii="Arial" w:hAnsi="Arial" w:cs="Arial"/>
          <w:sz w:val="24"/>
          <w:szCs w:val="24"/>
        </w:rPr>
        <w:t xml:space="preserve"> Government Actuary must use when reviewing and determining the rate</w:t>
      </w:r>
      <w:r w:rsidR="000B212E">
        <w:rPr>
          <w:rFonts w:ascii="Arial" w:hAnsi="Arial" w:cs="Arial"/>
          <w:sz w:val="24"/>
          <w:szCs w:val="24"/>
        </w:rPr>
        <w:t>,</w:t>
      </w:r>
      <w:r w:rsidR="00E13CCC">
        <w:rPr>
          <w:rFonts w:ascii="Arial" w:hAnsi="Arial" w:cs="Arial"/>
          <w:sz w:val="24"/>
          <w:szCs w:val="24"/>
        </w:rPr>
        <w:t xml:space="preserve"> has </w:t>
      </w:r>
      <w:proofErr w:type="gramStart"/>
      <w:r w:rsidR="00E13CCC">
        <w:rPr>
          <w:rFonts w:ascii="Arial" w:hAnsi="Arial" w:cs="Arial"/>
          <w:sz w:val="24"/>
          <w:szCs w:val="24"/>
        </w:rPr>
        <w:t>a number of</w:t>
      </w:r>
      <w:proofErr w:type="gramEnd"/>
      <w:r w:rsidR="00E13CCC">
        <w:rPr>
          <w:rFonts w:ascii="Arial" w:hAnsi="Arial" w:cs="Arial"/>
          <w:sz w:val="24"/>
          <w:szCs w:val="24"/>
        </w:rPr>
        <w:t xml:space="preserve"> features: </w:t>
      </w:r>
      <w:r w:rsidR="00375555">
        <w:rPr>
          <w:rFonts w:ascii="Arial" w:hAnsi="Arial" w:cs="Arial"/>
          <w:sz w:val="24"/>
          <w:szCs w:val="24"/>
        </w:rPr>
        <w:t xml:space="preserve"> </w:t>
      </w:r>
    </w:p>
    <w:p w14:paraId="203644AF" w14:textId="01CED51E" w:rsidR="00132A3C" w:rsidRPr="00E13CCC" w:rsidRDefault="00E13CCC" w:rsidP="00E13CCC">
      <w:pPr>
        <w:pStyle w:val="ListParagraph"/>
        <w:numPr>
          <w:ilvl w:val="1"/>
          <w:numId w:val="3"/>
        </w:numPr>
        <w:spacing w:line="360" w:lineRule="auto"/>
        <w:ind w:left="1134" w:hanging="425"/>
        <w:contextualSpacing w:val="0"/>
        <w:jc w:val="both"/>
        <w:rPr>
          <w:rFonts w:ascii="Arial" w:hAnsi="Arial" w:cs="Arial"/>
          <w:sz w:val="24"/>
          <w:szCs w:val="24"/>
        </w:rPr>
      </w:pPr>
      <w:r>
        <w:rPr>
          <w:rFonts w:ascii="Arial" w:hAnsi="Arial" w:cs="Arial"/>
          <w:sz w:val="24"/>
          <w:szCs w:val="24"/>
        </w:rPr>
        <w:t>T</w:t>
      </w:r>
      <w:r w:rsidR="00132A3C">
        <w:rPr>
          <w:rFonts w:ascii="Arial" w:hAnsi="Arial" w:cs="Arial"/>
          <w:sz w:val="24"/>
          <w:szCs w:val="24"/>
        </w:rPr>
        <w:t>he</w:t>
      </w:r>
      <w:r>
        <w:rPr>
          <w:rFonts w:ascii="Arial" w:hAnsi="Arial" w:cs="Arial"/>
          <w:sz w:val="24"/>
          <w:szCs w:val="24"/>
        </w:rPr>
        <w:t xml:space="preserve"> rate must reflect the expected</w:t>
      </w:r>
      <w:r w:rsidR="00132A3C">
        <w:rPr>
          <w:rFonts w:ascii="Arial" w:hAnsi="Arial" w:cs="Arial"/>
          <w:sz w:val="24"/>
          <w:szCs w:val="24"/>
        </w:rPr>
        <w:t xml:space="preserve"> </w:t>
      </w:r>
      <w:r>
        <w:rPr>
          <w:rFonts w:ascii="Arial" w:hAnsi="Arial" w:cs="Arial"/>
          <w:sz w:val="24"/>
          <w:szCs w:val="24"/>
        </w:rPr>
        <w:t>return on investment</w:t>
      </w:r>
      <w:r w:rsidR="0065549D" w:rsidRPr="0065549D">
        <w:rPr>
          <w:rFonts w:ascii="Arial" w:hAnsi="Arial" w:cs="Arial"/>
          <w:sz w:val="24"/>
          <w:szCs w:val="24"/>
        </w:rPr>
        <w:t xml:space="preserve"> </w:t>
      </w:r>
      <w:r w:rsidR="0065549D">
        <w:rPr>
          <w:rFonts w:ascii="Arial" w:hAnsi="Arial" w:cs="Arial"/>
          <w:sz w:val="24"/>
          <w:szCs w:val="24"/>
        </w:rPr>
        <w:t xml:space="preserve">by the hypothetical claimant investor </w:t>
      </w:r>
      <w:r w:rsidR="00855D59">
        <w:rPr>
          <w:rFonts w:ascii="Arial" w:hAnsi="Arial" w:cs="Arial"/>
          <w:sz w:val="24"/>
          <w:szCs w:val="24"/>
        </w:rPr>
        <w:t>(</w:t>
      </w:r>
      <w:r w:rsidR="0065549D">
        <w:rPr>
          <w:rFonts w:ascii="Arial" w:hAnsi="Arial" w:cs="Arial"/>
          <w:sz w:val="24"/>
          <w:szCs w:val="24"/>
        </w:rPr>
        <w:t>as defined in the Act</w:t>
      </w:r>
      <w:r w:rsidR="00855D59">
        <w:rPr>
          <w:rFonts w:ascii="Arial" w:hAnsi="Arial" w:cs="Arial"/>
          <w:sz w:val="24"/>
          <w:szCs w:val="24"/>
        </w:rPr>
        <w:t>)</w:t>
      </w:r>
      <w:r>
        <w:rPr>
          <w:rFonts w:ascii="Arial" w:hAnsi="Arial" w:cs="Arial"/>
          <w:sz w:val="24"/>
          <w:szCs w:val="24"/>
        </w:rPr>
        <w:t xml:space="preserve"> in the prescribed</w:t>
      </w:r>
      <w:r w:rsidR="00132A3C">
        <w:rPr>
          <w:rFonts w:ascii="Arial" w:hAnsi="Arial" w:cs="Arial"/>
          <w:sz w:val="24"/>
          <w:szCs w:val="24"/>
        </w:rPr>
        <w:t xml:space="preserve"> notional portfolio of assets </w:t>
      </w:r>
      <w:r>
        <w:rPr>
          <w:rFonts w:ascii="Arial" w:hAnsi="Arial" w:cs="Arial"/>
          <w:sz w:val="24"/>
          <w:szCs w:val="24"/>
        </w:rPr>
        <w:t>over a prescribed period</w:t>
      </w:r>
      <w:r w:rsidR="00132A3C" w:rsidRPr="00E13CCC">
        <w:rPr>
          <w:rFonts w:ascii="Arial" w:hAnsi="Arial" w:cs="Arial"/>
          <w:sz w:val="24"/>
          <w:szCs w:val="24"/>
        </w:rPr>
        <w:t xml:space="preserve"> </w:t>
      </w:r>
      <w:r w:rsidR="000B212E" w:rsidRPr="00E9417C">
        <w:rPr>
          <w:rFonts w:ascii="Arial" w:hAnsi="Arial" w:cs="Arial"/>
          <w:sz w:val="24"/>
          <w:szCs w:val="24"/>
        </w:rPr>
        <w:t>–</w:t>
      </w:r>
      <w:r w:rsidR="00855D59">
        <w:rPr>
          <w:rFonts w:ascii="Arial" w:hAnsi="Arial" w:cs="Arial"/>
          <w:sz w:val="24"/>
          <w:szCs w:val="24"/>
        </w:rPr>
        <w:t xml:space="preserve"> </w:t>
      </w:r>
      <w:r w:rsidR="00132A3C" w:rsidRPr="00E13CCC">
        <w:rPr>
          <w:rFonts w:ascii="Arial" w:hAnsi="Arial" w:cs="Arial"/>
          <w:sz w:val="24"/>
          <w:szCs w:val="24"/>
        </w:rPr>
        <w:t xml:space="preserve">currently 43 </w:t>
      </w:r>
      <w:proofErr w:type="gramStart"/>
      <w:r w:rsidR="00132A3C" w:rsidRPr="00E13CCC">
        <w:rPr>
          <w:rFonts w:ascii="Arial" w:hAnsi="Arial" w:cs="Arial"/>
          <w:sz w:val="24"/>
          <w:szCs w:val="24"/>
        </w:rPr>
        <w:t>years;</w:t>
      </w:r>
      <w:proofErr w:type="gramEnd"/>
    </w:p>
    <w:p w14:paraId="37B61C27" w14:textId="729892C9" w:rsidR="00132A3C" w:rsidRDefault="00E13CCC" w:rsidP="00132A3C">
      <w:pPr>
        <w:pStyle w:val="ListParagraph"/>
        <w:numPr>
          <w:ilvl w:val="1"/>
          <w:numId w:val="3"/>
        </w:numPr>
        <w:spacing w:line="360" w:lineRule="auto"/>
        <w:ind w:left="1134" w:hanging="425"/>
        <w:contextualSpacing w:val="0"/>
        <w:jc w:val="both"/>
        <w:rPr>
          <w:rFonts w:ascii="Arial" w:hAnsi="Arial" w:cs="Arial"/>
          <w:sz w:val="24"/>
          <w:szCs w:val="24"/>
        </w:rPr>
      </w:pPr>
      <w:r>
        <w:rPr>
          <w:rFonts w:ascii="Arial" w:hAnsi="Arial" w:cs="Arial"/>
          <w:sz w:val="24"/>
          <w:szCs w:val="24"/>
        </w:rPr>
        <w:t xml:space="preserve">It must allow for </w:t>
      </w:r>
      <w:r w:rsidR="00132A3C">
        <w:rPr>
          <w:rFonts w:ascii="Arial" w:hAnsi="Arial" w:cs="Arial"/>
          <w:sz w:val="24"/>
          <w:szCs w:val="24"/>
        </w:rPr>
        <w:t>the impact of inflation by reference to the retail prices index</w:t>
      </w:r>
      <w:r w:rsidR="00DF701F">
        <w:rPr>
          <w:rFonts w:ascii="Arial" w:hAnsi="Arial" w:cs="Arial"/>
          <w:sz w:val="24"/>
          <w:szCs w:val="24"/>
        </w:rPr>
        <w:t xml:space="preserve"> (RPI)</w:t>
      </w:r>
      <w:r w:rsidR="00911CE7">
        <w:rPr>
          <w:rFonts w:ascii="Arial" w:hAnsi="Arial" w:cs="Arial"/>
          <w:sz w:val="24"/>
          <w:szCs w:val="24"/>
        </w:rPr>
        <w:t xml:space="preserve"> or some other published information relating to costs, earnings or other monetary factors prescribed in regulations made by the Department (to date no </w:t>
      </w:r>
      <w:r w:rsidR="00E904BD">
        <w:rPr>
          <w:rFonts w:ascii="Arial" w:hAnsi="Arial" w:cs="Arial"/>
          <w:sz w:val="24"/>
          <w:szCs w:val="24"/>
        </w:rPr>
        <w:t>other such information has been prescribed</w:t>
      </w:r>
      <w:proofErr w:type="gramStart"/>
      <w:r w:rsidR="00E904BD">
        <w:rPr>
          <w:rFonts w:ascii="Arial" w:hAnsi="Arial" w:cs="Arial"/>
          <w:sz w:val="24"/>
          <w:szCs w:val="24"/>
        </w:rPr>
        <w:t>);</w:t>
      </w:r>
      <w:proofErr w:type="gramEnd"/>
      <w:r>
        <w:rPr>
          <w:rFonts w:ascii="Arial" w:hAnsi="Arial" w:cs="Arial"/>
          <w:sz w:val="24"/>
          <w:szCs w:val="24"/>
        </w:rPr>
        <w:t xml:space="preserve"> </w:t>
      </w:r>
    </w:p>
    <w:p w14:paraId="259CDAC7" w14:textId="77777777" w:rsidR="00E13CCC" w:rsidRDefault="00E13CCC" w:rsidP="00E13CCC">
      <w:pPr>
        <w:pStyle w:val="ListParagraph"/>
        <w:numPr>
          <w:ilvl w:val="1"/>
          <w:numId w:val="3"/>
        </w:numPr>
        <w:spacing w:line="360" w:lineRule="auto"/>
        <w:ind w:left="1134" w:hanging="425"/>
        <w:contextualSpacing w:val="0"/>
        <w:jc w:val="both"/>
        <w:rPr>
          <w:rFonts w:ascii="Arial" w:hAnsi="Arial" w:cs="Arial"/>
          <w:sz w:val="24"/>
          <w:szCs w:val="24"/>
        </w:rPr>
      </w:pPr>
      <w:r>
        <w:rPr>
          <w:rFonts w:ascii="Arial" w:hAnsi="Arial" w:cs="Arial"/>
          <w:sz w:val="24"/>
          <w:szCs w:val="24"/>
        </w:rPr>
        <w:t>Two</w:t>
      </w:r>
      <w:r w:rsidR="00132A3C">
        <w:rPr>
          <w:rFonts w:ascii="Arial" w:hAnsi="Arial" w:cs="Arial"/>
          <w:sz w:val="24"/>
          <w:szCs w:val="24"/>
        </w:rPr>
        <w:t xml:space="preserve"> standard adjustments must be made</w:t>
      </w:r>
      <w:r>
        <w:rPr>
          <w:rFonts w:ascii="Arial" w:hAnsi="Arial" w:cs="Arial"/>
          <w:sz w:val="24"/>
          <w:szCs w:val="24"/>
        </w:rPr>
        <w:t>:</w:t>
      </w:r>
    </w:p>
    <w:p w14:paraId="5BFABADB" w14:textId="152D918C" w:rsidR="00E13CCC" w:rsidRDefault="0065549D" w:rsidP="00922F2C">
      <w:pPr>
        <w:pStyle w:val="ListParagraph"/>
        <w:numPr>
          <w:ilvl w:val="1"/>
          <w:numId w:val="11"/>
        </w:numPr>
        <w:spacing w:line="360" w:lineRule="auto"/>
        <w:ind w:left="1560"/>
        <w:contextualSpacing w:val="0"/>
        <w:jc w:val="both"/>
        <w:rPr>
          <w:rFonts w:ascii="Arial" w:hAnsi="Arial" w:cs="Arial"/>
          <w:sz w:val="24"/>
          <w:szCs w:val="24"/>
        </w:rPr>
      </w:pPr>
      <w:r>
        <w:rPr>
          <w:rFonts w:ascii="Arial" w:hAnsi="Arial" w:cs="Arial"/>
          <w:sz w:val="24"/>
          <w:szCs w:val="24"/>
        </w:rPr>
        <w:t xml:space="preserve">one </w:t>
      </w:r>
      <w:r w:rsidR="00132A3C" w:rsidRPr="00E13CCC">
        <w:rPr>
          <w:rFonts w:ascii="Arial" w:hAnsi="Arial" w:cs="Arial"/>
          <w:sz w:val="24"/>
          <w:szCs w:val="24"/>
        </w:rPr>
        <w:t xml:space="preserve">to </w:t>
      </w:r>
      <w:proofErr w:type="gramStart"/>
      <w:r w:rsidR="00132A3C" w:rsidRPr="00E13CCC">
        <w:rPr>
          <w:rFonts w:ascii="Arial" w:hAnsi="Arial" w:cs="Arial"/>
          <w:sz w:val="24"/>
          <w:szCs w:val="24"/>
        </w:rPr>
        <w:t>take into account</w:t>
      </w:r>
      <w:proofErr w:type="gramEnd"/>
      <w:r w:rsidR="00132A3C" w:rsidRPr="00E13CCC">
        <w:rPr>
          <w:rFonts w:ascii="Arial" w:hAnsi="Arial" w:cs="Arial"/>
          <w:sz w:val="24"/>
          <w:szCs w:val="24"/>
        </w:rPr>
        <w:t xml:space="preserve"> the impact of taxation and the cost</w:t>
      </w:r>
      <w:r w:rsidR="00E13CCC">
        <w:rPr>
          <w:rFonts w:ascii="Arial" w:hAnsi="Arial" w:cs="Arial"/>
          <w:sz w:val="24"/>
          <w:szCs w:val="24"/>
        </w:rPr>
        <w:t>s</w:t>
      </w:r>
      <w:r w:rsidR="00132A3C" w:rsidRPr="00E13CCC">
        <w:rPr>
          <w:rFonts w:ascii="Arial" w:hAnsi="Arial" w:cs="Arial"/>
          <w:sz w:val="24"/>
          <w:szCs w:val="24"/>
        </w:rPr>
        <w:t xml:space="preserve"> of investment advice and management </w:t>
      </w:r>
      <w:r w:rsidR="000B212E" w:rsidRPr="00E9417C">
        <w:rPr>
          <w:rFonts w:ascii="Arial" w:hAnsi="Arial" w:cs="Arial"/>
          <w:sz w:val="24"/>
          <w:szCs w:val="24"/>
        </w:rPr>
        <w:t>–</w:t>
      </w:r>
      <w:r w:rsidR="00855D59">
        <w:rPr>
          <w:rFonts w:ascii="Arial" w:hAnsi="Arial" w:cs="Arial"/>
          <w:sz w:val="24"/>
          <w:szCs w:val="24"/>
        </w:rPr>
        <w:t xml:space="preserve"> </w:t>
      </w:r>
      <w:r w:rsidR="00132A3C" w:rsidRPr="00E13CCC">
        <w:rPr>
          <w:rFonts w:ascii="Arial" w:hAnsi="Arial" w:cs="Arial"/>
          <w:sz w:val="24"/>
          <w:szCs w:val="24"/>
        </w:rPr>
        <w:t>currently 0.75%;</w:t>
      </w:r>
      <w:r w:rsidR="00E13CCC">
        <w:rPr>
          <w:rFonts w:ascii="Arial" w:hAnsi="Arial" w:cs="Arial"/>
          <w:sz w:val="24"/>
          <w:szCs w:val="24"/>
        </w:rPr>
        <w:t xml:space="preserve"> and</w:t>
      </w:r>
    </w:p>
    <w:p w14:paraId="6C993E31" w14:textId="4081768B" w:rsidR="00132A3C" w:rsidRPr="00E13CCC" w:rsidRDefault="00132A3C" w:rsidP="00922F2C">
      <w:pPr>
        <w:pStyle w:val="ListParagraph"/>
        <w:numPr>
          <w:ilvl w:val="1"/>
          <w:numId w:val="11"/>
        </w:numPr>
        <w:spacing w:line="360" w:lineRule="auto"/>
        <w:ind w:left="1560"/>
        <w:contextualSpacing w:val="0"/>
        <w:jc w:val="both"/>
        <w:rPr>
          <w:rFonts w:ascii="Arial" w:hAnsi="Arial" w:cs="Arial"/>
          <w:sz w:val="24"/>
          <w:szCs w:val="24"/>
        </w:rPr>
      </w:pPr>
      <w:r w:rsidRPr="00E13CCC">
        <w:rPr>
          <w:rFonts w:ascii="Arial" w:hAnsi="Arial" w:cs="Arial"/>
          <w:sz w:val="24"/>
          <w:szCs w:val="24"/>
        </w:rPr>
        <w:t xml:space="preserve"> </w:t>
      </w:r>
      <w:r w:rsidR="00E13CCC">
        <w:rPr>
          <w:rFonts w:ascii="Arial" w:hAnsi="Arial" w:cs="Arial"/>
          <w:sz w:val="24"/>
          <w:szCs w:val="24"/>
        </w:rPr>
        <w:t>a</w:t>
      </w:r>
      <w:r w:rsidRPr="00E13CCC">
        <w:rPr>
          <w:rFonts w:ascii="Arial" w:hAnsi="Arial" w:cs="Arial"/>
          <w:sz w:val="24"/>
          <w:szCs w:val="24"/>
        </w:rPr>
        <w:t xml:space="preserve"> further margin </w:t>
      </w:r>
      <w:r w:rsidR="000B212E" w:rsidRPr="00E9417C">
        <w:rPr>
          <w:rFonts w:ascii="Arial" w:hAnsi="Arial" w:cs="Arial"/>
          <w:sz w:val="24"/>
          <w:szCs w:val="24"/>
        </w:rPr>
        <w:t>–</w:t>
      </w:r>
      <w:r w:rsidR="00855D59">
        <w:rPr>
          <w:rFonts w:ascii="Arial" w:hAnsi="Arial" w:cs="Arial"/>
          <w:sz w:val="24"/>
          <w:szCs w:val="24"/>
        </w:rPr>
        <w:t xml:space="preserve"> </w:t>
      </w:r>
      <w:r w:rsidRPr="00E13CCC">
        <w:rPr>
          <w:rFonts w:ascii="Arial" w:hAnsi="Arial" w:cs="Arial"/>
          <w:sz w:val="24"/>
          <w:szCs w:val="24"/>
        </w:rPr>
        <w:t>currently 0.5%.</w:t>
      </w:r>
    </w:p>
    <w:p w14:paraId="79A2C6E7" w14:textId="321204CF" w:rsidR="00546256" w:rsidRDefault="00546256" w:rsidP="00E9417C">
      <w:pPr>
        <w:pStyle w:val="ListParagraph"/>
        <w:numPr>
          <w:ilvl w:val="0"/>
          <w:numId w:val="3"/>
        </w:numPr>
        <w:spacing w:line="360" w:lineRule="auto"/>
        <w:ind w:left="709" w:hanging="709"/>
        <w:contextualSpacing w:val="0"/>
        <w:jc w:val="both"/>
        <w:rPr>
          <w:rFonts w:ascii="Arial" w:hAnsi="Arial" w:cs="Arial"/>
          <w:sz w:val="24"/>
          <w:szCs w:val="24"/>
        </w:rPr>
      </w:pPr>
      <w:r>
        <w:rPr>
          <w:rFonts w:ascii="Arial" w:hAnsi="Arial" w:cs="Arial"/>
          <w:sz w:val="24"/>
          <w:szCs w:val="24"/>
        </w:rPr>
        <w:lastRenderedPageBreak/>
        <w:t>The Act also allows the Department to require that more than one discount rate is set.</w:t>
      </w:r>
    </w:p>
    <w:p w14:paraId="55B79A03" w14:textId="7D158790" w:rsidR="00132A3C" w:rsidRDefault="00594655" w:rsidP="00E9417C">
      <w:pPr>
        <w:pStyle w:val="ListParagraph"/>
        <w:numPr>
          <w:ilvl w:val="0"/>
          <w:numId w:val="3"/>
        </w:numPr>
        <w:spacing w:line="360" w:lineRule="auto"/>
        <w:ind w:left="709" w:hanging="709"/>
        <w:contextualSpacing w:val="0"/>
        <w:jc w:val="both"/>
        <w:rPr>
          <w:rFonts w:ascii="Arial" w:hAnsi="Arial" w:cs="Arial"/>
          <w:sz w:val="24"/>
          <w:szCs w:val="24"/>
        </w:rPr>
      </w:pPr>
      <w:r>
        <w:rPr>
          <w:rFonts w:ascii="Arial" w:hAnsi="Arial" w:cs="Arial"/>
          <w:sz w:val="24"/>
          <w:szCs w:val="24"/>
        </w:rPr>
        <w:t>In anticipati</w:t>
      </w:r>
      <w:r w:rsidR="006D0547">
        <w:rPr>
          <w:rFonts w:ascii="Arial" w:hAnsi="Arial" w:cs="Arial"/>
          <w:sz w:val="24"/>
          <w:szCs w:val="24"/>
        </w:rPr>
        <w:t>on</w:t>
      </w:r>
      <w:r>
        <w:rPr>
          <w:rFonts w:ascii="Arial" w:hAnsi="Arial" w:cs="Arial"/>
          <w:sz w:val="24"/>
          <w:szCs w:val="24"/>
        </w:rPr>
        <w:t xml:space="preserve"> of the forthcoming review of the rate by the Government Actuary, t</w:t>
      </w:r>
      <w:r w:rsidR="00132A3C">
        <w:rPr>
          <w:rFonts w:ascii="Arial" w:hAnsi="Arial" w:cs="Arial"/>
          <w:sz w:val="24"/>
          <w:szCs w:val="24"/>
        </w:rPr>
        <w:t>he Department wrote to stakeholders in May 2023 seeking views, supported by evidence, on the need or otherwise to adjust any of the above</w:t>
      </w:r>
      <w:r w:rsidR="00855D59">
        <w:rPr>
          <w:rFonts w:ascii="Arial" w:hAnsi="Arial" w:cs="Arial"/>
          <w:sz w:val="24"/>
          <w:szCs w:val="24"/>
        </w:rPr>
        <w:t xml:space="preserve"> parameters</w:t>
      </w:r>
      <w:r w:rsidR="00546256">
        <w:rPr>
          <w:rFonts w:ascii="Arial" w:hAnsi="Arial" w:cs="Arial"/>
          <w:sz w:val="24"/>
          <w:szCs w:val="24"/>
        </w:rPr>
        <w:t>, or to require more than one rate to be set</w:t>
      </w:r>
      <w:r w:rsidR="00132A3C">
        <w:rPr>
          <w:rFonts w:ascii="Arial" w:hAnsi="Arial" w:cs="Arial"/>
          <w:sz w:val="24"/>
          <w:szCs w:val="24"/>
        </w:rPr>
        <w:t xml:space="preserve">. The Department also commissioned the Government Actuary’s Department </w:t>
      </w:r>
      <w:r w:rsidR="00505713">
        <w:rPr>
          <w:rFonts w:ascii="Arial" w:hAnsi="Arial" w:cs="Arial"/>
          <w:sz w:val="24"/>
          <w:szCs w:val="24"/>
        </w:rPr>
        <w:t xml:space="preserve">(GAD) </w:t>
      </w:r>
      <w:r w:rsidR="00132A3C">
        <w:rPr>
          <w:rFonts w:ascii="Arial" w:hAnsi="Arial" w:cs="Arial"/>
          <w:sz w:val="24"/>
          <w:szCs w:val="24"/>
        </w:rPr>
        <w:t xml:space="preserve">to </w:t>
      </w:r>
      <w:r w:rsidR="00855D59">
        <w:rPr>
          <w:rFonts w:ascii="Arial" w:hAnsi="Arial" w:cs="Arial"/>
          <w:sz w:val="24"/>
          <w:szCs w:val="24"/>
        </w:rPr>
        <w:t>provide advice</w:t>
      </w:r>
      <w:r w:rsidR="00132A3C">
        <w:rPr>
          <w:rFonts w:ascii="Arial" w:hAnsi="Arial" w:cs="Arial"/>
          <w:sz w:val="24"/>
          <w:szCs w:val="24"/>
        </w:rPr>
        <w:t>.</w:t>
      </w:r>
      <w:r w:rsidR="00505713">
        <w:rPr>
          <w:rFonts w:ascii="Arial" w:hAnsi="Arial" w:cs="Arial"/>
          <w:sz w:val="24"/>
          <w:szCs w:val="24"/>
        </w:rPr>
        <w:t xml:space="preserve"> The consultation responses were provided for GAD’s information.</w:t>
      </w:r>
    </w:p>
    <w:p w14:paraId="344BCFEE" w14:textId="72B64776" w:rsidR="00375555" w:rsidRDefault="00546256" w:rsidP="00375555">
      <w:pPr>
        <w:pStyle w:val="ListParagraph"/>
        <w:numPr>
          <w:ilvl w:val="0"/>
          <w:numId w:val="3"/>
        </w:numPr>
        <w:spacing w:line="360" w:lineRule="auto"/>
        <w:ind w:left="709" w:hanging="709"/>
        <w:contextualSpacing w:val="0"/>
        <w:jc w:val="both"/>
        <w:rPr>
          <w:rFonts w:ascii="Arial" w:hAnsi="Arial" w:cs="Arial"/>
          <w:sz w:val="24"/>
          <w:szCs w:val="24"/>
        </w:rPr>
      </w:pPr>
      <w:r>
        <w:rPr>
          <w:rFonts w:ascii="Arial" w:hAnsi="Arial" w:cs="Arial"/>
          <w:sz w:val="24"/>
          <w:szCs w:val="24"/>
        </w:rPr>
        <w:t xml:space="preserve">We </w:t>
      </w:r>
      <w:r w:rsidRPr="00922F2C">
        <w:rPr>
          <w:rFonts w:ascii="Arial" w:hAnsi="Arial" w:cs="Arial"/>
          <w:sz w:val="24"/>
          <w:szCs w:val="24"/>
        </w:rPr>
        <w:t>received twenty-</w:t>
      </w:r>
      <w:r w:rsidR="00922F2C" w:rsidRPr="00922F2C">
        <w:rPr>
          <w:rFonts w:ascii="Arial" w:hAnsi="Arial" w:cs="Arial"/>
          <w:sz w:val="24"/>
          <w:szCs w:val="24"/>
        </w:rPr>
        <w:t xml:space="preserve">three </w:t>
      </w:r>
      <w:r w:rsidRPr="00922F2C">
        <w:rPr>
          <w:rFonts w:ascii="Arial" w:hAnsi="Arial" w:cs="Arial"/>
          <w:sz w:val="24"/>
          <w:szCs w:val="24"/>
        </w:rPr>
        <w:t>responses</w:t>
      </w:r>
      <w:r>
        <w:rPr>
          <w:rFonts w:ascii="Arial" w:hAnsi="Arial" w:cs="Arial"/>
          <w:sz w:val="24"/>
          <w:szCs w:val="24"/>
        </w:rPr>
        <w:t xml:space="preserve"> to the consultation. These are </w:t>
      </w:r>
      <w:r w:rsidR="00D147F7">
        <w:rPr>
          <w:rFonts w:ascii="Arial" w:hAnsi="Arial" w:cs="Arial"/>
          <w:sz w:val="24"/>
          <w:szCs w:val="24"/>
        </w:rPr>
        <w:t xml:space="preserve">published, as well as </w:t>
      </w:r>
      <w:r w:rsidR="000B212E">
        <w:rPr>
          <w:rFonts w:ascii="Arial" w:hAnsi="Arial" w:cs="Arial"/>
          <w:sz w:val="24"/>
          <w:szCs w:val="24"/>
        </w:rPr>
        <w:t xml:space="preserve">GAD’s </w:t>
      </w:r>
      <w:r w:rsidR="00FB2287">
        <w:rPr>
          <w:rFonts w:ascii="Arial" w:hAnsi="Arial" w:cs="Arial"/>
          <w:sz w:val="24"/>
          <w:szCs w:val="24"/>
        </w:rPr>
        <w:t>advice</w:t>
      </w:r>
      <w:r w:rsidR="00D147F7">
        <w:rPr>
          <w:rFonts w:ascii="Arial" w:hAnsi="Arial" w:cs="Arial"/>
          <w:sz w:val="24"/>
          <w:szCs w:val="24"/>
        </w:rPr>
        <w:t>, alongside this report</w:t>
      </w:r>
      <w:r w:rsidR="00FB2287">
        <w:rPr>
          <w:rFonts w:ascii="Arial" w:hAnsi="Arial" w:cs="Arial"/>
          <w:sz w:val="24"/>
          <w:szCs w:val="24"/>
        </w:rPr>
        <w:t>.</w:t>
      </w:r>
    </w:p>
    <w:p w14:paraId="1D1ACACC" w14:textId="393B60CC" w:rsidR="00375555" w:rsidRPr="00375555" w:rsidRDefault="00375555" w:rsidP="00375555">
      <w:pPr>
        <w:pStyle w:val="ListParagraph"/>
        <w:numPr>
          <w:ilvl w:val="0"/>
          <w:numId w:val="3"/>
        </w:numPr>
        <w:spacing w:line="360" w:lineRule="auto"/>
        <w:ind w:left="709" w:hanging="709"/>
        <w:contextualSpacing w:val="0"/>
        <w:jc w:val="both"/>
        <w:rPr>
          <w:rFonts w:ascii="Arial" w:hAnsi="Arial" w:cs="Arial"/>
          <w:sz w:val="24"/>
          <w:szCs w:val="24"/>
        </w:rPr>
      </w:pPr>
      <w:r w:rsidRPr="00375555">
        <w:rPr>
          <w:rFonts w:ascii="Arial" w:hAnsi="Arial" w:cs="Arial"/>
          <w:sz w:val="24"/>
          <w:szCs w:val="24"/>
        </w:rPr>
        <w:t xml:space="preserve">Since the Minister of Justice has </w:t>
      </w:r>
      <w:r>
        <w:rPr>
          <w:rFonts w:ascii="Arial" w:hAnsi="Arial" w:cs="Arial"/>
          <w:sz w:val="24"/>
          <w:szCs w:val="24"/>
        </w:rPr>
        <w:t>a perceived conflict of</w:t>
      </w:r>
      <w:r w:rsidRPr="00375555">
        <w:rPr>
          <w:rFonts w:ascii="Arial" w:hAnsi="Arial" w:cs="Arial"/>
          <w:sz w:val="24"/>
          <w:szCs w:val="24"/>
        </w:rPr>
        <w:t xml:space="preserve"> interest in the personal injury discount arising from her husband’s membership of a medical defence union</w:t>
      </w:r>
      <w:r>
        <w:rPr>
          <w:rFonts w:ascii="Arial" w:hAnsi="Arial" w:cs="Arial"/>
          <w:sz w:val="24"/>
          <w:szCs w:val="24"/>
        </w:rPr>
        <w:t xml:space="preserve">, </w:t>
      </w:r>
      <w:r w:rsidRPr="00375555">
        <w:rPr>
          <w:rFonts w:ascii="Arial" w:hAnsi="Arial" w:cs="Arial"/>
          <w:sz w:val="24"/>
          <w:szCs w:val="24"/>
        </w:rPr>
        <w:t>she delegated</w:t>
      </w:r>
      <w:r w:rsidR="00855D59">
        <w:rPr>
          <w:rFonts w:ascii="Arial" w:hAnsi="Arial" w:cs="Arial"/>
          <w:sz w:val="24"/>
          <w:szCs w:val="24"/>
        </w:rPr>
        <w:t xml:space="preserve"> </w:t>
      </w:r>
      <w:r w:rsidR="00ED23C0">
        <w:rPr>
          <w:rFonts w:ascii="Arial" w:hAnsi="Arial" w:cs="Arial"/>
          <w:sz w:val="24"/>
          <w:szCs w:val="24"/>
        </w:rPr>
        <w:t>the final</w:t>
      </w:r>
      <w:r w:rsidRPr="00375555">
        <w:rPr>
          <w:rFonts w:ascii="Arial" w:hAnsi="Arial" w:cs="Arial"/>
          <w:sz w:val="24"/>
          <w:szCs w:val="24"/>
        </w:rPr>
        <w:t xml:space="preserve"> policy decisions</w:t>
      </w:r>
      <w:r>
        <w:rPr>
          <w:rFonts w:ascii="Arial" w:hAnsi="Arial" w:cs="Arial"/>
          <w:sz w:val="24"/>
          <w:szCs w:val="24"/>
        </w:rPr>
        <w:t xml:space="preserve"> </w:t>
      </w:r>
      <w:r w:rsidR="00ED23C0">
        <w:rPr>
          <w:rFonts w:ascii="Arial" w:hAnsi="Arial" w:cs="Arial"/>
          <w:sz w:val="24"/>
          <w:szCs w:val="24"/>
        </w:rPr>
        <w:t xml:space="preserve">on </w:t>
      </w:r>
      <w:proofErr w:type="gramStart"/>
      <w:r w:rsidR="00ED23C0">
        <w:rPr>
          <w:rFonts w:ascii="Arial" w:hAnsi="Arial" w:cs="Arial"/>
          <w:sz w:val="24"/>
          <w:szCs w:val="24"/>
        </w:rPr>
        <w:t xml:space="preserve">whether </w:t>
      </w:r>
      <w:r w:rsidR="000B212E">
        <w:rPr>
          <w:rFonts w:ascii="Arial" w:hAnsi="Arial" w:cs="Arial"/>
          <w:sz w:val="24"/>
          <w:szCs w:val="24"/>
        </w:rPr>
        <w:t>or not</w:t>
      </w:r>
      <w:proofErr w:type="gramEnd"/>
      <w:r w:rsidR="000B212E">
        <w:rPr>
          <w:rFonts w:ascii="Arial" w:hAnsi="Arial" w:cs="Arial"/>
          <w:sz w:val="24"/>
          <w:szCs w:val="24"/>
        </w:rPr>
        <w:t xml:space="preserve"> </w:t>
      </w:r>
      <w:r w:rsidR="00ED23C0">
        <w:rPr>
          <w:rFonts w:ascii="Arial" w:hAnsi="Arial" w:cs="Arial"/>
          <w:sz w:val="24"/>
          <w:szCs w:val="24"/>
        </w:rPr>
        <w:t xml:space="preserve">the statutory </w:t>
      </w:r>
      <w:r w:rsidR="00855D59">
        <w:rPr>
          <w:rFonts w:ascii="Arial" w:hAnsi="Arial" w:cs="Arial"/>
          <w:sz w:val="24"/>
          <w:szCs w:val="24"/>
        </w:rPr>
        <w:t>methodology</w:t>
      </w:r>
      <w:r w:rsidR="00ED23C0">
        <w:rPr>
          <w:rFonts w:ascii="Arial" w:hAnsi="Arial" w:cs="Arial"/>
          <w:sz w:val="24"/>
          <w:szCs w:val="24"/>
        </w:rPr>
        <w:t xml:space="preserve"> require</w:t>
      </w:r>
      <w:r w:rsidR="00855D59">
        <w:rPr>
          <w:rFonts w:ascii="Arial" w:hAnsi="Arial" w:cs="Arial"/>
          <w:sz w:val="24"/>
          <w:szCs w:val="24"/>
        </w:rPr>
        <w:t xml:space="preserve">s </w:t>
      </w:r>
      <w:r w:rsidR="00ED23C0">
        <w:rPr>
          <w:rFonts w:ascii="Arial" w:hAnsi="Arial" w:cs="Arial"/>
          <w:sz w:val="24"/>
          <w:szCs w:val="24"/>
        </w:rPr>
        <w:t>amendment</w:t>
      </w:r>
      <w:r w:rsidR="00594655" w:rsidRPr="00594655">
        <w:rPr>
          <w:rFonts w:ascii="Arial" w:hAnsi="Arial" w:cs="Arial"/>
          <w:sz w:val="24"/>
          <w:szCs w:val="24"/>
        </w:rPr>
        <w:t xml:space="preserve"> </w:t>
      </w:r>
      <w:r w:rsidR="00594655">
        <w:rPr>
          <w:rFonts w:ascii="Arial" w:hAnsi="Arial" w:cs="Arial"/>
          <w:sz w:val="24"/>
          <w:szCs w:val="24"/>
        </w:rPr>
        <w:t>to the Permanent Secretary</w:t>
      </w:r>
      <w:r w:rsidRPr="00375555">
        <w:rPr>
          <w:rFonts w:ascii="Arial" w:hAnsi="Arial" w:cs="Arial"/>
          <w:sz w:val="24"/>
          <w:szCs w:val="24"/>
        </w:rPr>
        <w:t>.</w:t>
      </w:r>
    </w:p>
    <w:p w14:paraId="6AF700B1" w14:textId="77777777" w:rsidR="00375555" w:rsidRPr="00375555" w:rsidRDefault="00375555" w:rsidP="00375555">
      <w:pPr>
        <w:spacing w:line="360" w:lineRule="auto"/>
        <w:jc w:val="both"/>
        <w:rPr>
          <w:rFonts w:ascii="Arial" w:hAnsi="Arial" w:cs="Arial"/>
          <w:sz w:val="24"/>
          <w:szCs w:val="24"/>
        </w:rPr>
      </w:pPr>
    </w:p>
    <w:p w14:paraId="61799426" w14:textId="77777777" w:rsidR="0091543F" w:rsidRDefault="0091543F">
      <w:pPr>
        <w:spacing w:after="0"/>
        <w:rPr>
          <w:rFonts w:ascii="Arial" w:eastAsiaTheme="majorEastAsia" w:hAnsi="Arial" w:cs="Arial"/>
          <w:color w:val="2F5496" w:themeColor="accent1" w:themeShade="BF"/>
          <w:sz w:val="32"/>
          <w:szCs w:val="32"/>
        </w:rPr>
      </w:pPr>
      <w:r>
        <w:br w:type="page"/>
      </w:r>
    </w:p>
    <w:p w14:paraId="1E9B05D5" w14:textId="684606A3" w:rsidR="0091543F" w:rsidRPr="009C3328" w:rsidRDefault="0091543F" w:rsidP="0091543F">
      <w:pPr>
        <w:pStyle w:val="Heading1"/>
      </w:pPr>
      <w:r>
        <w:lastRenderedPageBreak/>
        <w:t>2</w:t>
      </w:r>
      <w:r w:rsidRPr="009C3328">
        <w:t xml:space="preserve">. </w:t>
      </w:r>
      <w:r>
        <w:t>Consideration</w:t>
      </w:r>
    </w:p>
    <w:p w14:paraId="604B811F" w14:textId="77777777" w:rsidR="0091543F" w:rsidRPr="0091543F" w:rsidRDefault="0091543F" w:rsidP="0091543F">
      <w:pPr>
        <w:spacing w:line="360" w:lineRule="auto"/>
        <w:jc w:val="both"/>
        <w:rPr>
          <w:rFonts w:ascii="Arial" w:hAnsi="Arial" w:cs="Arial"/>
          <w:sz w:val="24"/>
          <w:szCs w:val="24"/>
        </w:rPr>
      </w:pPr>
    </w:p>
    <w:p w14:paraId="5944632A" w14:textId="0C27ECFD" w:rsidR="0091543F" w:rsidRDefault="0091543F"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Having considered all the informatio</w:t>
      </w:r>
      <w:r w:rsidR="00375555">
        <w:rPr>
          <w:rFonts w:ascii="Arial" w:hAnsi="Arial" w:cs="Arial"/>
          <w:sz w:val="24"/>
          <w:szCs w:val="24"/>
        </w:rPr>
        <w:t>n provided by consultees</w:t>
      </w:r>
      <w:r>
        <w:rPr>
          <w:rFonts w:ascii="Arial" w:hAnsi="Arial" w:cs="Arial"/>
          <w:sz w:val="24"/>
          <w:szCs w:val="24"/>
        </w:rPr>
        <w:t xml:space="preserve"> and</w:t>
      </w:r>
      <w:r w:rsidR="006D0547">
        <w:rPr>
          <w:rFonts w:ascii="Arial" w:hAnsi="Arial" w:cs="Arial"/>
          <w:sz w:val="24"/>
          <w:szCs w:val="24"/>
        </w:rPr>
        <w:t xml:space="preserve"> the</w:t>
      </w:r>
      <w:r>
        <w:rPr>
          <w:rFonts w:ascii="Arial" w:hAnsi="Arial" w:cs="Arial"/>
          <w:sz w:val="24"/>
          <w:szCs w:val="24"/>
        </w:rPr>
        <w:t xml:space="preserve"> advice</w:t>
      </w:r>
      <w:r w:rsidR="00375555">
        <w:rPr>
          <w:rFonts w:ascii="Arial" w:hAnsi="Arial" w:cs="Arial"/>
          <w:sz w:val="24"/>
          <w:szCs w:val="24"/>
        </w:rPr>
        <w:t xml:space="preserve"> from</w:t>
      </w:r>
      <w:r w:rsidR="006D0547">
        <w:rPr>
          <w:rFonts w:ascii="Arial" w:hAnsi="Arial" w:cs="Arial"/>
          <w:sz w:val="24"/>
          <w:szCs w:val="24"/>
        </w:rPr>
        <w:t xml:space="preserve"> GAD</w:t>
      </w:r>
      <w:r>
        <w:rPr>
          <w:rFonts w:ascii="Arial" w:hAnsi="Arial" w:cs="Arial"/>
          <w:sz w:val="24"/>
          <w:szCs w:val="24"/>
        </w:rPr>
        <w:t xml:space="preserve">, the Department has reached </w:t>
      </w:r>
      <w:r w:rsidR="00911CE7">
        <w:rPr>
          <w:rFonts w:ascii="Arial" w:hAnsi="Arial" w:cs="Arial"/>
          <w:sz w:val="24"/>
          <w:szCs w:val="24"/>
        </w:rPr>
        <w:t xml:space="preserve">the </w:t>
      </w:r>
      <w:r>
        <w:rPr>
          <w:rFonts w:ascii="Arial" w:hAnsi="Arial" w:cs="Arial"/>
          <w:sz w:val="24"/>
          <w:szCs w:val="24"/>
        </w:rPr>
        <w:t>conclusions</w:t>
      </w:r>
      <w:r w:rsidR="00911CE7">
        <w:rPr>
          <w:rFonts w:ascii="Arial" w:hAnsi="Arial" w:cs="Arial"/>
          <w:sz w:val="24"/>
          <w:szCs w:val="24"/>
        </w:rPr>
        <w:t xml:space="preserve"> set out below</w:t>
      </w:r>
      <w:r>
        <w:rPr>
          <w:rFonts w:ascii="Arial" w:hAnsi="Arial" w:cs="Arial"/>
          <w:sz w:val="24"/>
          <w:szCs w:val="24"/>
        </w:rPr>
        <w:t>.</w:t>
      </w:r>
    </w:p>
    <w:p w14:paraId="432622A1" w14:textId="70E8FB97" w:rsidR="00505713" w:rsidRPr="00E9659F" w:rsidRDefault="00505713" w:rsidP="00E9659F">
      <w:pPr>
        <w:spacing w:line="360" w:lineRule="auto"/>
        <w:jc w:val="both"/>
        <w:rPr>
          <w:rFonts w:ascii="Arial" w:hAnsi="Arial" w:cs="Arial"/>
          <w:b/>
          <w:bCs/>
          <w:sz w:val="24"/>
          <w:szCs w:val="24"/>
        </w:rPr>
      </w:pPr>
      <w:r w:rsidRPr="00E9659F">
        <w:rPr>
          <w:rFonts w:ascii="Arial" w:hAnsi="Arial" w:cs="Arial"/>
          <w:b/>
          <w:bCs/>
          <w:sz w:val="24"/>
          <w:szCs w:val="24"/>
        </w:rPr>
        <w:t>Notional portfolio</w:t>
      </w:r>
    </w:p>
    <w:p w14:paraId="08A750D0" w14:textId="61CAF88A" w:rsidR="00911CE7" w:rsidRDefault="00911CE7"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S</w:t>
      </w:r>
      <w:r w:rsidR="00ED23C0">
        <w:rPr>
          <w:rFonts w:ascii="Arial" w:hAnsi="Arial" w:cs="Arial"/>
          <w:sz w:val="24"/>
          <w:szCs w:val="24"/>
        </w:rPr>
        <w:t>takeholder views on this issue were largely divided between those representing claimants and those representing defendants. The former considered that the notional portfolio contains too much risk</w:t>
      </w:r>
      <w:r w:rsidR="00C466F8">
        <w:rPr>
          <w:rFonts w:ascii="Arial" w:hAnsi="Arial" w:cs="Arial"/>
          <w:sz w:val="24"/>
          <w:szCs w:val="24"/>
        </w:rPr>
        <w:t xml:space="preserve"> and that claimants would hold more cash for expenses</w:t>
      </w:r>
      <w:r w:rsidR="00855D59">
        <w:rPr>
          <w:rFonts w:ascii="Arial" w:hAnsi="Arial" w:cs="Arial"/>
          <w:sz w:val="24"/>
          <w:szCs w:val="24"/>
        </w:rPr>
        <w:t>,</w:t>
      </w:r>
      <w:r w:rsidR="00ED23C0">
        <w:rPr>
          <w:rFonts w:ascii="Arial" w:hAnsi="Arial" w:cs="Arial"/>
          <w:sz w:val="24"/>
          <w:szCs w:val="24"/>
        </w:rPr>
        <w:t xml:space="preserve"> while the latter considered that the portfolio should include a higher proportion of equities. The updated analysis by GAD of the funds from which the notional portfolio was derived showed no significant evidence of systemic change t</w:t>
      </w:r>
      <w:r w:rsidR="00C466F8">
        <w:rPr>
          <w:rFonts w:ascii="Arial" w:hAnsi="Arial" w:cs="Arial"/>
          <w:sz w:val="24"/>
          <w:szCs w:val="24"/>
        </w:rPr>
        <w:t>hat would</w:t>
      </w:r>
      <w:r w:rsidR="00ED23C0">
        <w:rPr>
          <w:rFonts w:ascii="Arial" w:hAnsi="Arial" w:cs="Arial"/>
          <w:sz w:val="24"/>
          <w:szCs w:val="24"/>
        </w:rPr>
        <w:t xml:space="preserve"> suggest the notional portfolio is no longer appropriate. </w:t>
      </w:r>
    </w:p>
    <w:p w14:paraId="763ACF58" w14:textId="18CCFA79" w:rsidR="00505713" w:rsidRDefault="00DF701F"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The</w:t>
      </w:r>
      <w:r w:rsidR="00ED23C0">
        <w:rPr>
          <w:rFonts w:ascii="Arial" w:hAnsi="Arial" w:cs="Arial"/>
          <w:sz w:val="24"/>
          <w:szCs w:val="24"/>
        </w:rPr>
        <w:t xml:space="preserve"> Department’s conclusion is that</w:t>
      </w:r>
      <w:r w:rsidR="00855D59">
        <w:rPr>
          <w:rFonts w:ascii="Arial" w:hAnsi="Arial" w:cs="Arial"/>
          <w:sz w:val="24"/>
          <w:szCs w:val="24"/>
        </w:rPr>
        <w:t>,</w:t>
      </w:r>
      <w:r w:rsidR="00ED23C0">
        <w:rPr>
          <w:rFonts w:ascii="Arial" w:hAnsi="Arial" w:cs="Arial"/>
          <w:sz w:val="24"/>
          <w:szCs w:val="24"/>
        </w:rPr>
        <w:t xml:space="preserve"> in the absence of any</w:t>
      </w:r>
      <w:r w:rsidR="00C466F8">
        <w:rPr>
          <w:rFonts w:ascii="Arial" w:hAnsi="Arial" w:cs="Arial"/>
          <w:sz w:val="24"/>
          <w:szCs w:val="24"/>
        </w:rPr>
        <w:t xml:space="preserve"> clear</w:t>
      </w:r>
      <w:r w:rsidR="00ED23C0">
        <w:rPr>
          <w:rFonts w:ascii="Arial" w:hAnsi="Arial" w:cs="Arial"/>
          <w:sz w:val="24"/>
          <w:szCs w:val="24"/>
        </w:rPr>
        <w:t xml:space="preserve"> evidence pointing to the need for change, the notional portfolio remains suitable for investment in by the hypothetical claimant investor</w:t>
      </w:r>
      <w:r>
        <w:rPr>
          <w:rFonts w:ascii="Arial" w:hAnsi="Arial" w:cs="Arial"/>
          <w:sz w:val="24"/>
          <w:szCs w:val="24"/>
        </w:rPr>
        <w:t>.</w:t>
      </w:r>
    </w:p>
    <w:p w14:paraId="755BD686" w14:textId="04EC61D9" w:rsidR="00DF701F" w:rsidRPr="00E9659F" w:rsidRDefault="00DF701F" w:rsidP="00E9659F">
      <w:pPr>
        <w:spacing w:line="360" w:lineRule="auto"/>
        <w:jc w:val="both"/>
        <w:rPr>
          <w:rFonts w:ascii="Arial" w:hAnsi="Arial" w:cs="Arial"/>
          <w:b/>
          <w:bCs/>
          <w:sz w:val="24"/>
          <w:szCs w:val="24"/>
        </w:rPr>
      </w:pPr>
      <w:r w:rsidRPr="00E9659F">
        <w:rPr>
          <w:rFonts w:ascii="Arial" w:hAnsi="Arial" w:cs="Arial"/>
          <w:b/>
          <w:bCs/>
          <w:sz w:val="24"/>
          <w:szCs w:val="24"/>
        </w:rPr>
        <w:t>Investment period</w:t>
      </w:r>
    </w:p>
    <w:p w14:paraId="7C080103" w14:textId="5BF32A06" w:rsidR="00911CE7" w:rsidRDefault="00911CE7"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Again</w:t>
      </w:r>
      <w:r w:rsidR="009951D7">
        <w:rPr>
          <w:rFonts w:ascii="Arial" w:hAnsi="Arial" w:cs="Arial"/>
          <w:sz w:val="24"/>
          <w:szCs w:val="24"/>
        </w:rPr>
        <w:t>,</w:t>
      </w:r>
      <w:r>
        <w:rPr>
          <w:rFonts w:ascii="Arial" w:hAnsi="Arial" w:cs="Arial"/>
          <w:sz w:val="24"/>
          <w:szCs w:val="24"/>
        </w:rPr>
        <w:t xml:space="preserve"> stakeholder views were divided between those representing claimants and those representing defendants. The former considered that the assumed investment period should be reduced to 30 years, to give more protection to claimants with awards covering shorter time horizons, while those representing defendants considered </w:t>
      </w:r>
      <w:r w:rsidR="009951D7">
        <w:rPr>
          <w:rFonts w:ascii="Arial" w:hAnsi="Arial" w:cs="Arial"/>
          <w:sz w:val="24"/>
          <w:szCs w:val="24"/>
        </w:rPr>
        <w:t xml:space="preserve">that </w:t>
      </w:r>
      <w:r>
        <w:rPr>
          <w:rFonts w:ascii="Arial" w:hAnsi="Arial" w:cs="Arial"/>
          <w:sz w:val="24"/>
          <w:szCs w:val="24"/>
        </w:rPr>
        <w:t>the 43</w:t>
      </w:r>
      <w:r w:rsidR="009951D7">
        <w:rPr>
          <w:rFonts w:ascii="Arial" w:hAnsi="Arial" w:cs="Arial"/>
          <w:sz w:val="24"/>
          <w:szCs w:val="24"/>
        </w:rPr>
        <w:t>-year</w:t>
      </w:r>
      <w:r>
        <w:rPr>
          <w:rFonts w:ascii="Arial" w:hAnsi="Arial" w:cs="Arial"/>
          <w:sz w:val="24"/>
          <w:szCs w:val="24"/>
        </w:rPr>
        <w:t xml:space="preserve"> period remains appropriate. GAD advised that, in the absence of any new evidence, if the Department’s policy intention is still to reflect the median claimant</w:t>
      </w:r>
      <w:r w:rsidR="00C466F8">
        <w:rPr>
          <w:rFonts w:ascii="Arial" w:hAnsi="Arial" w:cs="Arial"/>
          <w:sz w:val="24"/>
          <w:szCs w:val="24"/>
        </w:rPr>
        <w:t>’s life expectancy</w:t>
      </w:r>
      <w:r>
        <w:rPr>
          <w:rFonts w:ascii="Arial" w:hAnsi="Arial" w:cs="Arial"/>
          <w:sz w:val="24"/>
          <w:szCs w:val="24"/>
        </w:rPr>
        <w:t xml:space="preserve">, then the 43-year period remains appropriate.     </w:t>
      </w:r>
    </w:p>
    <w:p w14:paraId="30F668C0" w14:textId="7E525CB3" w:rsidR="00DF701F" w:rsidRDefault="00DF701F"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 xml:space="preserve">In the absence of any new evidence, </w:t>
      </w:r>
      <w:r w:rsidR="00911CE7">
        <w:rPr>
          <w:rFonts w:ascii="Arial" w:hAnsi="Arial" w:cs="Arial"/>
          <w:sz w:val="24"/>
          <w:szCs w:val="24"/>
        </w:rPr>
        <w:t>the Department has concluded that the prescribed investment period of 43 years remains appropriate</w:t>
      </w:r>
      <w:r>
        <w:rPr>
          <w:rFonts w:ascii="Arial" w:hAnsi="Arial" w:cs="Arial"/>
          <w:sz w:val="24"/>
          <w:szCs w:val="24"/>
        </w:rPr>
        <w:t>.</w:t>
      </w:r>
    </w:p>
    <w:p w14:paraId="1B90270A" w14:textId="77777777" w:rsidR="00C466F8" w:rsidRDefault="00C466F8" w:rsidP="00E9659F">
      <w:pPr>
        <w:spacing w:line="360" w:lineRule="auto"/>
        <w:jc w:val="both"/>
        <w:rPr>
          <w:rFonts w:ascii="Arial" w:hAnsi="Arial" w:cs="Arial"/>
          <w:b/>
          <w:bCs/>
          <w:sz w:val="24"/>
          <w:szCs w:val="24"/>
        </w:rPr>
      </w:pPr>
    </w:p>
    <w:p w14:paraId="263FF4CF" w14:textId="77777777" w:rsidR="00C466F8" w:rsidRDefault="00C466F8" w:rsidP="00E9659F">
      <w:pPr>
        <w:spacing w:line="360" w:lineRule="auto"/>
        <w:jc w:val="both"/>
        <w:rPr>
          <w:rFonts w:ascii="Arial" w:hAnsi="Arial" w:cs="Arial"/>
          <w:b/>
          <w:bCs/>
          <w:sz w:val="24"/>
          <w:szCs w:val="24"/>
        </w:rPr>
      </w:pPr>
    </w:p>
    <w:p w14:paraId="4BF448E9" w14:textId="0E45C915" w:rsidR="00DF701F" w:rsidRPr="00E9659F" w:rsidRDefault="00DF701F" w:rsidP="00E9659F">
      <w:pPr>
        <w:spacing w:line="360" w:lineRule="auto"/>
        <w:jc w:val="both"/>
        <w:rPr>
          <w:rFonts w:ascii="Arial" w:hAnsi="Arial" w:cs="Arial"/>
          <w:b/>
          <w:bCs/>
          <w:sz w:val="24"/>
          <w:szCs w:val="24"/>
        </w:rPr>
      </w:pPr>
      <w:r w:rsidRPr="00E9659F">
        <w:rPr>
          <w:rFonts w:ascii="Arial" w:hAnsi="Arial" w:cs="Arial"/>
          <w:b/>
          <w:bCs/>
          <w:sz w:val="24"/>
          <w:szCs w:val="24"/>
        </w:rPr>
        <w:lastRenderedPageBreak/>
        <w:t>Inflation</w:t>
      </w:r>
    </w:p>
    <w:p w14:paraId="4A854D75" w14:textId="533C3009" w:rsidR="00DF701F" w:rsidRPr="00E904BD" w:rsidRDefault="0027319E" w:rsidP="00E904BD">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 xml:space="preserve">In practice, different elements of an award of damages for future financial loss will be subject to different inflationary pressures. </w:t>
      </w:r>
      <w:proofErr w:type="gramStart"/>
      <w:r>
        <w:rPr>
          <w:rFonts w:ascii="Arial" w:hAnsi="Arial" w:cs="Arial"/>
          <w:sz w:val="24"/>
          <w:szCs w:val="24"/>
        </w:rPr>
        <w:t>For the purpose of</w:t>
      </w:r>
      <w:proofErr w:type="gramEnd"/>
      <w:r>
        <w:rPr>
          <w:rFonts w:ascii="Arial" w:hAnsi="Arial" w:cs="Arial"/>
          <w:sz w:val="24"/>
          <w:szCs w:val="24"/>
        </w:rPr>
        <w:t xml:space="preserve"> the discount rate, </w:t>
      </w:r>
      <w:r w:rsidR="00E904BD">
        <w:rPr>
          <w:rFonts w:ascii="Arial" w:hAnsi="Arial" w:cs="Arial"/>
          <w:sz w:val="24"/>
          <w:szCs w:val="24"/>
        </w:rPr>
        <w:t>the impact of inflation has</w:t>
      </w:r>
      <w:r>
        <w:rPr>
          <w:rFonts w:ascii="Arial" w:hAnsi="Arial" w:cs="Arial"/>
          <w:sz w:val="24"/>
          <w:szCs w:val="24"/>
        </w:rPr>
        <w:t xml:space="preserve"> to date</w:t>
      </w:r>
      <w:r w:rsidR="00E904BD">
        <w:rPr>
          <w:rFonts w:ascii="Arial" w:hAnsi="Arial" w:cs="Arial"/>
          <w:sz w:val="24"/>
          <w:szCs w:val="24"/>
        </w:rPr>
        <w:t xml:space="preserve"> been taken into account by reference to RPI. </w:t>
      </w:r>
      <w:r w:rsidR="00F30C44" w:rsidRPr="00E904BD">
        <w:rPr>
          <w:rFonts w:ascii="Arial" w:hAnsi="Arial" w:cs="Arial"/>
          <w:sz w:val="24"/>
          <w:szCs w:val="24"/>
        </w:rPr>
        <w:t>In 2020,</w:t>
      </w:r>
      <w:r w:rsidR="00CE22A7">
        <w:rPr>
          <w:rFonts w:ascii="Arial" w:hAnsi="Arial" w:cs="Arial"/>
          <w:sz w:val="24"/>
          <w:szCs w:val="24"/>
        </w:rPr>
        <w:t xml:space="preserve"> however,</w:t>
      </w:r>
      <w:r w:rsidR="00F30C44" w:rsidRPr="00E904BD">
        <w:rPr>
          <w:rFonts w:ascii="Arial" w:hAnsi="Arial" w:cs="Arial"/>
          <w:sz w:val="24"/>
          <w:szCs w:val="24"/>
        </w:rPr>
        <w:t xml:space="preserve"> the UK Statistics Authority and the UK Government confirmed that </w:t>
      </w:r>
      <w:r w:rsidR="006E0FB9" w:rsidRPr="00E904BD">
        <w:rPr>
          <w:rFonts w:ascii="Arial" w:hAnsi="Arial" w:cs="Arial"/>
          <w:sz w:val="24"/>
          <w:szCs w:val="24"/>
        </w:rPr>
        <w:t>RPI would be reformulated and aligned with CPIH (the consumer prices index</w:t>
      </w:r>
      <w:r w:rsidR="00D56AF1" w:rsidRPr="00E904BD">
        <w:rPr>
          <w:rFonts w:ascii="Arial" w:hAnsi="Arial" w:cs="Arial"/>
          <w:sz w:val="24"/>
          <w:szCs w:val="24"/>
        </w:rPr>
        <w:t xml:space="preserve"> including owner-occupiers’ housing costs) from 2030</w:t>
      </w:r>
      <w:r w:rsidR="00E904BD" w:rsidRPr="00E904BD">
        <w:rPr>
          <w:rFonts w:ascii="Arial" w:hAnsi="Arial" w:cs="Arial"/>
          <w:sz w:val="24"/>
          <w:szCs w:val="24"/>
        </w:rPr>
        <w:t>.</w:t>
      </w:r>
      <w:r w:rsidR="00E904BD">
        <w:rPr>
          <w:rFonts w:ascii="Arial" w:hAnsi="Arial" w:cs="Arial"/>
          <w:sz w:val="24"/>
          <w:szCs w:val="24"/>
        </w:rPr>
        <w:t xml:space="preserve"> Stakeholders were broadly in agreement that this means RPI is no longer appropriate for the purpose of taking inflation into account when setting the discount rate. This was also GAD’s advice. Stakeholders mainly suggested that CPI should be used instead of RPI</w:t>
      </w:r>
      <w:r w:rsidR="00CE22A7">
        <w:rPr>
          <w:rFonts w:ascii="Arial" w:hAnsi="Arial" w:cs="Arial"/>
          <w:sz w:val="24"/>
          <w:szCs w:val="24"/>
        </w:rPr>
        <w:t>,</w:t>
      </w:r>
      <w:r w:rsidR="00E904BD">
        <w:rPr>
          <w:rFonts w:ascii="Arial" w:hAnsi="Arial" w:cs="Arial"/>
          <w:sz w:val="24"/>
          <w:szCs w:val="24"/>
        </w:rPr>
        <w:t xml:space="preserve"> although most recommended an adjustment</w:t>
      </w:r>
      <w:r w:rsidR="00DF0568">
        <w:rPr>
          <w:rFonts w:ascii="Arial" w:hAnsi="Arial" w:cs="Arial"/>
          <w:sz w:val="24"/>
          <w:szCs w:val="24"/>
        </w:rPr>
        <w:t xml:space="preserve"> to the index</w:t>
      </w:r>
      <w:r w:rsidR="00E904BD">
        <w:rPr>
          <w:rFonts w:ascii="Arial" w:hAnsi="Arial" w:cs="Arial"/>
          <w:sz w:val="24"/>
          <w:szCs w:val="24"/>
        </w:rPr>
        <w:t xml:space="preserve"> and views differed on what any appropriate adjustment should be. Stakeholders representing claimants generally contended that</w:t>
      </w:r>
      <w:r>
        <w:rPr>
          <w:rFonts w:ascii="Arial" w:hAnsi="Arial" w:cs="Arial"/>
          <w:sz w:val="24"/>
          <w:szCs w:val="24"/>
        </w:rPr>
        <w:t xml:space="preserve"> more heads of loss are subject to earnings inflation and that many costs claimants face</w:t>
      </w:r>
      <w:r w:rsidR="00CE22A7">
        <w:rPr>
          <w:rFonts w:ascii="Arial" w:hAnsi="Arial" w:cs="Arial"/>
          <w:sz w:val="24"/>
          <w:szCs w:val="24"/>
        </w:rPr>
        <w:t>,</w:t>
      </w:r>
      <w:r>
        <w:rPr>
          <w:rFonts w:ascii="Arial" w:hAnsi="Arial" w:cs="Arial"/>
          <w:sz w:val="24"/>
          <w:szCs w:val="24"/>
        </w:rPr>
        <w:t xml:space="preserve"> e</w:t>
      </w:r>
      <w:r w:rsidR="00CE22A7">
        <w:rPr>
          <w:rFonts w:ascii="Arial" w:hAnsi="Arial" w:cs="Arial"/>
          <w:sz w:val="24"/>
          <w:szCs w:val="24"/>
        </w:rPr>
        <w:t>.</w:t>
      </w:r>
      <w:r>
        <w:rPr>
          <w:rFonts w:ascii="Arial" w:hAnsi="Arial" w:cs="Arial"/>
          <w:sz w:val="24"/>
          <w:szCs w:val="24"/>
        </w:rPr>
        <w:t>g. for specialist medical equipment, are not for the types of goods used to calculate CPI. Respondents representing defendants on the other hand</w:t>
      </w:r>
      <w:r w:rsidR="00CE22A7">
        <w:rPr>
          <w:rFonts w:ascii="Arial" w:hAnsi="Arial" w:cs="Arial"/>
          <w:sz w:val="24"/>
          <w:szCs w:val="24"/>
        </w:rPr>
        <w:t>,</w:t>
      </w:r>
      <w:r>
        <w:rPr>
          <w:rFonts w:ascii="Arial" w:hAnsi="Arial" w:cs="Arial"/>
          <w:sz w:val="24"/>
          <w:szCs w:val="24"/>
        </w:rPr>
        <w:t xml:space="preserve"> argued that</w:t>
      </w:r>
      <w:r w:rsidR="004A0684">
        <w:rPr>
          <w:rFonts w:ascii="Arial" w:hAnsi="Arial" w:cs="Arial"/>
          <w:sz w:val="24"/>
          <w:szCs w:val="24"/>
        </w:rPr>
        <w:t xml:space="preserve"> due to lower earnings inflation</w:t>
      </w:r>
      <w:r w:rsidR="008125CE">
        <w:rPr>
          <w:rFonts w:ascii="Arial" w:hAnsi="Arial" w:cs="Arial"/>
          <w:sz w:val="24"/>
          <w:szCs w:val="24"/>
        </w:rPr>
        <w:t>,</w:t>
      </w:r>
      <w:r>
        <w:rPr>
          <w:rFonts w:ascii="Arial" w:hAnsi="Arial" w:cs="Arial"/>
          <w:sz w:val="24"/>
          <w:szCs w:val="24"/>
        </w:rPr>
        <w:t xml:space="preserve"> damages would inflate at a lower rate than previously assumed, </w:t>
      </w:r>
      <w:r w:rsidR="004850DB">
        <w:rPr>
          <w:rFonts w:ascii="Arial" w:hAnsi="Arial" w:cs="Arial"/>
          <w:sz w:val="24"/>
          <w:szCs w:val="24"/>
        </w:rPr>
        <w:t xml:space="preserve">and </w:t>
      </w:r>
      <w:r>
        <w:rPr>
          <w:rFonts w:ascii="Arial" w:hAnsi="Arial" w:cs="Arial"/>
          <w:sz w:val="24"/>
          <w:szCs w:val="24"/>
        </w:rPr>
        <w:t xml:space="preserve">therefore </w:t>
      </w:r>
      <w:r w:rsidR="004850DB">
        <w:rPr>
          <w:rFonts w:ascii="Arial" w:hAnsi="Arial" w:cs="Arial"/>
          <w:sz w:val="24"/>
          <w:szCs w:val="24"/>
        </w:rPr>
        <w:t xml:space="preserve">that </w:t>
      </w:r>
      <w:r>
        <w:rPr>
          <w:rFonts w:ascii="Arial" w:hAnsi="Arial" w:cs="Arial"/>
          <w:sz w:val="24"/>
          <w:szCs w:val="24"/>
        </w:rPr>
        <w:t xml:space="preserve">a figure around CPI+0.5% would better represent damages inflation.  </w:t>
      </w:r>
      <w:r w:rsidR="00E904BD">
        <w:rPr>
          <w:rFonts w:ascii="Arial" w:hAnsi="Arial" w:cs="Arial"/>
          <w:sz w:val="24"/>
          <w:szCs w:val="24"/>
        </w:rPr>
        <w:t xml:space="preserve">  </w:t>
      </w:r>
    </w:p>
    <w:p w14:paraId="46F5B72C" w14:textId="1AA476A3" w:rsidR="00061F20" w:rsidRPr="00DF0568" w:rsidRDefault="00061F20" w:rsidP="00061F20">
      <w:pPr>
        <w:pStyle w:val="ListParagraph"/>
        <w:numPr>
          <w:ilvl w:val="0"/>
          <w:numId w:val="9"/>
        </w:numPr>
        <w:spacing w:line="360" w:lineRule="auto"/>
        <w:ind w:left="709" w:hanging="709"/>
        <w:contextualSpacing w:val="0"/>
        <w:jc w:val="both"/>
        <w:rPr>
          <w:rFonts w:ascii="Arial" w:hAnsi="Arial" w:cs="Arial"/>
          <w:sz w:val="24"/>
          <w:szCs w:val="24"/>
        </w:rPr>
      </w:pPr>
      <w:r w:rsidRPr="00DF0568">
        <w:rPr>
          <w:rFonts w:ascii="Arial" w:hAnsi="Arial" w:cs="Arial"/>
          <w:sz w:val="24"/>
          <w:szCs w:val="24"/>
        </w:rPr>
        <w:t>Under the legislation</w:t>
      </w:r>
      <w:r w:rsidR="00922F2C">
        <w:rPr>
          <w:rFonts w:ascii="Arial" w:hAnsi="Arial" w:cs="Arial"/>
          <w:sz w:val="24"/>
          <w:szCs w:val="24"/>
        </w:rPr>
        <w:t>,</w:t>
      </w:r>
      <w:r w:rsidRPr="00DF0568">
        <w:rPr>
          <w:rFonts w:ascii="Arial" w:hAnsi="Arial" w:cs="Arial"/>
          <w:sz w:val="24"/>
          <w:szCs w:val="24"/>
        </w:rPr>
        <w:t xml:space="preserve"> however, any alternative measure to be prescribed must be a single, unadjusted index and not an adjustment to an index. In the absence of any bespoke measure in relation to damages inflation, this means choosing either an existing prices-related or an existing earnings-related index. The Department considers that there is merit in the points made by consultees representing claimants about the nature of the losses and expenses incurred by claimants in high-value personal injury cases and the types of inflationary pressures to which these would be </w:t>
      </w:r>
      <w:proofErr w:type="gramStart"/>
      <w:r w:rsidRPr="00DF0568">
        <w:rPr>
          <w:rFonts w:ascii="Arial" w:hAnsi="Arial" w:cs="Arial"/>
          <w:sz w:val="24"/>
          <w:szCs w:val="24"/>
        </w:rPr>
        <w:t xml:space="preserve">subject;  </w:t>
      </w:r>
      <w:r w:rsidR="00A91625">
        <w:rPr>
          <w:rFonts w:ascii="Arial" w:hAnsi="Arial" w:cs="Arial"/>
          <w:sz w:val="24"/>
          <w:szCs w:val="24"/>
        </w:rPr>
        <w:t>so</w:t>
      </w:r>
      <w:proofErr w:type="gramEnd"/>
      <w:r w:rsidR="00A91625">
        <w:rPr>
          <w:rFonts w:ascii="Arial" w:hAnsi="Arial" w:cs="Arial"/>
          <w:sz w:val="24"/>
          <w:szCs w:val="24"/>
        </w:rPr>
        <w:t xml:space="preserve"> on balance this points to opting for </w:t>
      </w:r>
      <w:r w:rsidRPr="00DF0568">
        <w:rPr>
          <w:rFonts w:ascii="Arial" w:hAnsi="Arial" w:cs="Arial"/>
          <w:sz w:val="24"/>
          <w:szCs w:val="24"/>
        </w:rPr>
        <w:t>an earnings-based measure.</w:t>
      </w:r>
    </w:p>
    <w:p w14:paraId="2CC21D45" w14:textId="77777777" w:rsidR="00CD24C1" w:rsidRDefault="00061F20" w:rsidP="00061F20">
      <w:pPr>
        <w:pStyle w:val="ListParagraph"/>
        <w:numPr>
          <w:ilvl w:val="0"/>
          <w:numId w:val="9"/>
        </w:numPr>
        <w:spacing w:line="360" w:lineRule="auto"/>
        <w:ind w:left="709" w:hanging="709"/>
        <w:contextualSpacing w:val="0"/>
        <w:jc w:val="both"/>
        <w:rPr>
          <w:rFonts w:ascii="Arial" w:hAnsi="Arial" w:cs="Arial"/>
          <w:sz w:val="24"/>
          <w:szCs w:val="24"/>
        </w:rPr>
      </w:pPr>
      <w:r w:rsidRPr="00DF0568">
        <w:rPr>
          <w:rFonts w:ascii="Arial" w:hAnsi="Arial" w:cs="Arial"/>
          <w:sz w:val="24"/>
          <w:szCs w:val="24"/>
        </w:rPr>
        <w:t xml:space="preserve">There are two possible earnings-based indices that could be prescribed: annual weekly earnings (AWE) and the annual survey of hours and earnings (ASHE). GAD advises that long-term projections of both are broadly expected to align. Within ASHE, there are two measures that might be used: ‘ASHE 6115’ (which </w:t>
      </w:r>
      <w:r w:rsidRPr="00DF0568">
        <w:rPr>
          <w:rFonts w:ascii="Arial" w:hAnsi="Arial" w:cs="Arial"/>
          <w:sz w:val="24"/>
          <w:szCs w:val="24"/>
        </w:rPr>
        <w:lastRenderedPageBreak/>
        <w:t xml:space="preserve">reflects care workers’ earnings) and ‘ASHE All’ (which reflects all earnings). Since the range of costs and losses for which damages are awarded is wider than care costs, the Department is of the view that ASHE All would be the more appropriate of the two. </w:t>
      </w:r>
    </w:p>
    <w:p w14:paraId="5E4C4E7B" w14:textId="7B550B65" w:rsidR="00061F20" w:rsidRPr="00DF0568" w:rsidRDefault="00932DA8" w:rsidP="00061F20">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 xml:space="preserve">Although AWE is earnings data for Great Britain only, while ASHE is UK-wide data, </w:t>
      </w:r>
      <w:r w:rsidR="00AA77CE">
        <w:rPr>
          <w:rFonts w:ascii="Arial" w:hAnsi="Arial" w:cs="Arial"/>
          <w:sz w:val="24"/>
          <w:szCs w:val="24"/>
        </w:rPr>
        <w:t xml:space="preserve">GAD advises that Northern Ireland’s relatively small population compared to the UK as a whole means that there is unlikely to be any material difference between a GB-wide and a UK-wide sample. Further, </w:t>
      </w:r>
      <w:r w:rsidR="00061F20" w:rsidRPr="00DF0568">
        <w:rPr>
          <w:rFonts w:ascii="Arial" w:hAnsi="Arial" w:cs="Arial"/>
          <w:sz w:val="24"/>
          <w:szCs w:val="24"/>
        </w:rPr>
        <w:t xml:space="preserve">the methodology used to calculate ASHE has changed over time, meaning that it is less reliable than AWE for long-term projections, which </w:t>
      </w:r>
      <w:r>
        <w:rPr>
          <w:rFonts w:ascii="Arial" w:hAnsi="Arial" w:cs="Arial"/>
          <w:sz w:val="24"/>
          <w:szCs w:val="24"/>
        </w:rPr>
        <w:t xml:space="preserve">utilise </w:t>
      </w:r>
      <w:r w:rsidR="00061F20" w:rsidRPr="00DF0568">
        <w:rPr>
          <w:rFonts w:ascii="Arial" w:hAnsi="Arial" w:cs="Arial"/>
          <w:sz w:val="24"/>
          <w:szCs w:val="24"/>
        </w:rPr>
        <w:t xml:space="preserve">analysis of historical data. On </w:t>
      </w:r>
      <w:r w:rsidR="00AA77CE">
        <w:rPr>
          <w:rFonts w:ascii="Arial" w:hAnsi="Arial" w:cs="Arial"/>
          <w:sz w:val="24"/>
          <w:szCs w:val="24"/>
        </w:rPr>
        <w:t>balance, then</w:t>
      </w:r>
      <w:r w:rsidR="00061F20" w:rsidRPr="00DF0568">
        <w:rPr>
          <w:rFonts w:ascii="Arial" w:hAnsi="Arial" w:cs="Arial"/>
          <w:sz w:val="24"/>
          <w:szCs w:val="24"/>
        </w:rPr>
        <w:t>, the Department has decided that AWE should be prescribed as the alternative measure of inflation to RPI.</w:t>
      </w:r>
    </w:p>
    <w:p w14:paraId="1F18419B" w14:textId="2FCFF03B" w:rsidR="00DB01CB" w:rsidRDefault="0092554A"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Looking beyond the immediate needs for this year’s review of the discount rate,</w:t>
      </w:r>
      <w:r w:rsidR="001F4C47">
        <w:rPr>
          <w:rFonts w:ascii="Arial" w:hAnsi="Arial" w:cs="Arial"/>
          <w:sz w:val="24"/>
          <w:szCs w:val="24"/>
        </w:rPr>
        <w:t xml:space="preserve"> the Department intends</w:t>
      </w:r>
      <w:r w:rsidR="00594655">
        <w:rPr>
          <w:rFonts w:ascii="Arial" w:hAnsi="Arial" w:cs="Arial"/>
          <w:sz w:val="24"/>
          <w:szCs w:val="24"/>
        </w:rPr>
        <w:t>,</w:t>
      </w:r>
      <w:r w:rsidR="001F4C47" w:rsidRPr="001F4C47">
        <w:rPr>
          <w:rFonts w:ascii="Arial" w:hAnsi="Arial" w:cs="Arial"/>
          <w:sz w:val="24"/>
          <w:szCs w:val="24"/>
        </w:rPr>
        <w:t xml:space="preserve"> </w:t>
      </w:r>
      <w:r w:rsidR="001F4C47">
        <w:rPr>
          <w:rFonts w:ascii="Arial" w:hAnsi="Arial" w:cs="Arial"/>
          <w:sz w:val="24"/>
          <w:szCs w:val="24"/>
        </w:rPr>
        <w:t>before the end of the current mandate,</w:t>
      </w:r>
      <w:r w:rsidR="00594655">
        <w:rPr>
          <w:rFonts w:ascii="Arial" w:hAnsi="Arial" w:cs="Arial"/>
          <w:sz w:val="24"/>
          <w:szCs w:val="24"/>
        </w:rPr>
        <w:t xml:space="preserve"> to review</w:t>
      </w:r>
      <w:r>
        <w:rPr>
          <w:rFonts w:ascii="Arial" w:hAnsi="Arial" w:cs="Arial"/>
          <w:sz w:val="24"/>
          <w:szCs w:val="24"/>
        </w:rPr>
        <w:t xml:space="preserve"> </w:t>
      </w:r>
      <w:r w:rsidR="001F4C47">
        <w:rPr>
          <w:rFonts w:ascii="Arial" w:hAnsi="Arial" w:cs="Arial"/>
          <w:sz w:val="24"/>
          <w:szCs w:val="24"/>
        </w:rPr>
        <w:t>how</w:t>
      </w:r>
      <w:r>
        <w:rPr>
          <w:rFonts w:ascii="Arial" w:hAnsi="Arial" w:cs="Arial"/>
          <w:sz w:val="24"/>
          <w:szCs w:val="24"/>
        </w:rPr>
        <w:t xml:space="preserve"> </w:t>
      </w:r>
      <w:r w:rsidR="001F4C47">
        <w:rPr>
          <w:rFonts w:ascii="Arial" w:hAnsi="Arial" w:cs="Arial"/>
          <w:sz w:val="24"/>
          <w:szCs w:val="24"/>
        </w:rPr>
        <w:t>the legislation makes provision for the impact of inflation to be taken into account,</w:t>
      </w:r>
      <w:r>
        <w:rPr>
          <w:rFonts w:ascii="Arial" w:hAnsi="Arial" w:cs="Arial"/>
          <w:sz w:val="24"/>
          <w:szCs w:val="24"/>
        </w:rPr>
        <w:t xml:space="preserve"> to consider the scope for providing more flexibility</w:t>
      </w:r>
      <w:r w:rsidR="004850DB">
        <w:rPr>
          <w:rFonts w:ascii="Arial" w:hAnsi="Arial" w:cs="Arial"/>
          <w:sz w:val="24"/>
          <w:szCs w:val="24"/>
        </w:rPr>
        <w:t>.</w:t>
      </w:r>
      <w:r w:rsidR="001F4C47">
        <w:rPr>
          <w:rFonts w:ascii="Arial" w:hAnsi="Arial" w:cs="Arial"/>
          <w:sz w:val="24"/>
          <w:szCs w:val="24"/>
        </w:rPr>
        <w:t xml:space="preserve"> </w:t>
      </w:r>
      <w:r w:rsidR="004850DB">
        <w:rPr>
          <w:rFonts w:ascii="Arial" w:hAnsi="Arial" w:cs="Arial"/>
          <w:sz w:val="24"/>
          <w:szCs w:val="24"/>
        </w:rPr>
        <w:t>A</w:t>
      </w:r>
      <w:r w:rsidR="001F4C47">
        <w:rPr>
          <w:rFonts w:ascii="Arial" w:hAnsi="Arial" w:cs="Arial"/>
          <w:sz w:val="24"/>
          <w:szCs w:val="24"/>
        </w:rPr>
        <w:t>ny amendment of this provision, if considered appropriate, would require primary legislation.</w:t>
      </w:r>
    </w:p>
    <w:p w14:paraId="4CAE8A1B" w14:textId="0930B4F4" w:rsidR="0092554A" w:rsidRPr="00E9659F" w:rsidRDefault="0092554A" w:rsidP="00E9659F">
      <w:pPr>
        <w:spacing w:line="360" w:lineRule="auto"/>
        <w:jc w:val="both"/>
        <w:rPr>
          <w:rFonts w:ascii="Arial" w:hAnsi="Arial" w:cs="Arial"/>
          <w:b/>
          <w:bCs/>
          <w:sz w:val="24"/>
          <w:szCs w:val="24"/>
        </w:rPr>
      </w:pPr>
      <w:r w:rsidRPr="00E9659F">
        <w:rPr>
          <w:rFonts w:ascii="Arial" w:hAnsi="Arial" w:cs="Arial"/>
          <w:b/>
          <w:bCs/>
          <w:sz w:val="24"/>
          <w:szCs w:val="24"/>
        </w:rPr>
        <w:t>Taxation and investment advice and management</w:t>
      </w:r>
    </w:p>
    <w:p w14:paraId="7ADD8212" w14:textId="590C925A" w:rsidR="00594655" w:rsidRDefault="00315FAD" w:rsidP="00594655">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 xml:space="preserve">As before, the views of stakeholders differed between those representing claimants and those representing defendants. The latter were broadly content with the current figure of </w:t>
      </w:r>
      <w:proofErr w:type="gramStart"/>
      <w:r>
        <w:rPr>
          <w:rFonts w:ascii="Arial" w:hAnsi="Arial" w:cs="Arial"/>
          <w:sz w:val="24"/>
          <w:szCs w:val="24"/>
        </w:rPr>
        <w:t>0.75%</w:t>
      </w:r>
      <w:r w:rsidR="00E37F6A">
        <w:rPr>
          <w:rFonts w:ascii="Arial" w:hAnsi="Arial" w:cs="Arial"/>
          <w:sz w:val="24"/>
          <w:szCs w:val="24"/>
        </w:rPr>
        <w:t>, or</w:t>
      </w:r>
      <w:proofErr w:type="gramEnd"/>
      <w:r w:rsidR="00E37F6A">
        <w:rPr>
          <w:rFonts w:ascii="Arial" w:hAnsi="Arial" w:cs="Arial"/>
          <w:sz w:val="24"/>
          <w:szCs w:val="24"/>
        </w:rPr>
        <w:t xml:space="preserve"> considered it should be lower</w:t>
      </w:r>
      <w:r w:rsidR="00922F2C">
        <w:rPr>
          <w:rFonts w:ascii="Arial" w:hAnsi="Arial" w:cs="Arial"/>
          <w:sz w:val="24"/>
          <w:szCs w:val="24"/>
        </w:rPr>
        <w:t xml:space="preserve">. </w:t>
      </w:r>
      <w:r w:rsidR="00E37F6A">
        <w:rPr>
          <w:rFonts w:ascii="Arial" w:hAnsi="Arial" w:cs="Arial"/>
          <w:sz w:val="24"/>
          <w:szCs w:val="24"/>
        </w:rPr>
        <w:t>Th</w:t>
      </w:r>
      <w:r w:rsidR="004A3F2C">
        <w:rPr>
          <w:rFonts w:ascii="Arial" w:hAnsi="Arial" w:cs="Arial"/>
          <w:sz w:val="24"/>
          <w:szCs w:val="24"/>
        </w:rPr>
        <w:t>e former argued that it is too low</w:t>
      </w:r>
      <w:r w:rsidR="00E37F6A">
        <w:rPr>
          <w:rFonts w:ascii="Arial" w:hAnsi="Arial" w:cs="Arial"/>
          <w:sz w:val="24"/>
          <w:szCs w:val="24"/>
        </w:rPr>
        <w:t xml:space="preserve"> due to claimants having to pay more tax in future years and needing an actively managed investment portfolio</w:t>
      </w:r>
      <w:r w:rsidR="004A3F2C">
        <w:rPr>
          <w:rFonts w:ascii="Arial" w:hAnsi="Arial" w:cs="Arial"/>
          <w:sz w:val="24"/>
          <w:szCs w:val="24"/>
        </w:rPr>
        <w:t>.</w:t>
      </w:r>
      <w:r>
        <w:rPr>
          <w:rFonts w:ascii="Arial" w:hAnsi="Arial" w:cs="Arial"/>
          <w:sz w:val="24"/>
          <w:szCs w:val="24"/>
        </w:rPr>
        <w:t xml:space="preserve"> </w:t>
      </w:r>
      <w:r w:rsidR="00E9659F">
        <w:rPr>
          <w:rFonts w:ascii="Arial" w:hAnsi="Arial" w:cs="Arial"/>
          <w:sz w:val="24"/>
          <w:szCs w:val="24"/>
        </w:rPr>
        <w:t>GAD</w:t>
      </w:r>
      <w:r w:rsidR="004911B1">
        <w:rPr>
          <w:rFonts w:ascii="Arial" w:hAnsi="Arial" w:cs="Arial"/>
          <w:sz w:val="24"/>
          <w:szCs w:val="24"/>
        </w:rPr>
        <w:t>, having updated and repeated the original analysis that informed the current adjustment of 0.75%,</w:t>
      </w:r>
      <w:r w:rsidR="00E9659F">
        <w:rPr>
          <w:rFonts w:ascii="Arial" w:hAnsi="Arial" w:cs="Arial"/>
          <w:sz w:val="24"/>
          <w:szCs w:val="24"/>
        </w:rPr>
        <w:t xml:space="preserve"> advises that the expected tax drag </w:t>
      </w:r>
      <w:r w:rsidR="004911B1">
        <w:rPr>
          <w:rFonts w:ascii="Arial" w:hAnsi="Arial" w:cs="Arial"/>
          <w:sz w:val="24"/>
          <w:szCs w:val="24"/>
        </w:rPr>
        <w:t>has increased due to higher expected returns</w:t>
      </w:r>
      <w:r w:rsidR="00792AF7">
        <w:rPr>
          <w:rFonts w:ascii="Arial" w:hAnsi="Arial" w:cs="Arial"/>
          <w:sz w:val="24"/>
          <w:szCs w:val="24"/>
        </w:rPr>
        <w:t xml:space="preserve"> and changes in tax rates</w:t>
      </w:r>
      <w:r w:rsidR="004911B1">
        <w:rPr>
          <w:rFonts w:ascii="Arial" w:hAnsi="Arial" w:cs="Arial"/>
          <w:sz w:val="24"/>
          <w:szCs w:val="24"/>
        </w:rPr>
        <w:t>, and</w:t>
      </w:r>
      <w:r w:rsidR="005319C8">
        <w:rPr>
          <w:rFonts w:ascii="Arial" w:hAnsi="Arial" w:cs="Arial"/>
          <w:sz w:val="24"/>
          <w:szCs w:val="24"/>
        </w:rPr>
        <w:t xml:space="preserve"> that</w:t>
      </w:r>
      <w:r w:rsidR="00792AF7">
        <w:rPr>
          <w:rFonts w:ascii="Arial" w:hAnsi="Arial" w:cs="Arial"/>
          <w:sz w:val="24"/>
          <w:szCs w:val="24"/>
        </w:rPr>
        <w:t xml:space="preserve"> </w:t>
      </w:r>
      <w:r w:rsidR="005319C8">
        <w:rPr>
          <w:rFonts w:ascii="Arial" w:hAnsi="Arial" w:cs="Arial"/>
          <w:sz w:val="24"/>
          <w:szCs w:val="24"/>
        </w:rPr>
        <w:t>while investment costs are largely unchanged, there are some indications of higher costs.</w:t>
      </w:r>
      <w:r w:rsidR="004911B1" w:rsidRPr="00594655">
        <w:rPr>
          <w:rFonts w:ascii="Arial" w:hAnsi="Arial" w:cs="Arial"/>
          <w:sz w:val="24"/>
          <w:szCs w:val="24"/>
        </w:rPr>
        <w:t xml:space="preserve"> </w:t>
      </w:r>
      <w:r w:rsidR="005319C8">
        <w:rPr>
          <w:rFonts w:ascii="Arial" w:hAnsi="Arial" w:cs="Arial"/>
          <w:sz w:val="24"/>
          <w:szCs w:val="24"/>
        </w:rPr>
        <w:t>F</w:t>
      </w:r>
      <w:r w:rsidR="004911B1" w:rsidRPr="00594655">
        <w:rPr>
          <w:rFonts w:ascii="Arial" w:hAnsi="Arial" w:cs="Arial"/>
          <w:sz w:val="24"/>
          <w:szCs w:val="24"/>
        </w:rPr>
        <w:t xml:space="preserve">or taxation, </w:t>
      </w:r>
      <w:r w:rsidR="00594655" w:rsidRPr="00594655">
        <w:rPr>
          <w:rFonts w:ascii="Arial" w:hAnsi="Arial" w:cs="Arial"/>
          <w:sz w:val="24"/>
          <w:szCs w:val="24"/>
        </w:rPr>
        <w:t xml:space="preserve">GAD </w:t>
      </w:r>
      <w:r w:rsidR="005319C8">
        <w:rPr>
          <w:rFonts w:ascii="Arial" w:hAnsi="Arial" w:cs="Arial"/>
          <w:sz w:val="24"/>
          <w:szCs w:val="24"/>
        </w:rPr>
        <w:t xml:space="preserve">now recommends </w:t>
      </w:r>
      <w:r w:rsidR="004911B1" w:rsidRPr="00594655">
        <w:rPr>
          <w:rFonts w:ascii="Arial" w:hAnsi="Arial" w:cs="Arial"/>
          <w:sz w:val="24"/>
          <w:szCs w:val="24"/>
        </w:rPr>
        <w:t>a range of 0.25% to 0.75%</w:t>
      </w:r>
      <w:r w:rsidR="00594655" w:rsidRPr="00594655">
        <w:rPr>
          <w:rFonts w:ascii="Arial" w:hAnsi="Arial" w:cs="Arial"/>
          <w:sz w:val="24"/>
          <w:szCs w:val="24"/>
        </w:rPr>
        <w:t>,</w:t>
      </w:r>
      <w:r w:rsidR="004911B1" w:rsidRPr="00594655">
        <w:rPr>
          <w:rFonts w:ascii="Arial" w:hAnsi="Arial" w:cs="Arial"/>
          <w:sz w:val="24"/>
          <w:szCs w:val="24"/>
        </w:rPr>
        <w:t xml:space="preserve"> and for</w:t>
      </w:r>
      <w:r w:rsidR="004A3F2C" w:rsidRPr="00594655">
        <w:rPr>
          <w:rFonts w:ascii="Arial" w:hAnsi="Arial" w:cs="Arial"/>
          <w:sz w:val="24"/>
          <w:szCs w:val="24"/>
        </w:rPr>
        <w:t xml:space="preserve"> the costs of</w:t>
      </w:r>
      <w:r w:rsidR="004911B1" w:rsidRPr="00594655">
        <w:rPr>
          <w:rFonts w:ascii="Arial" w:hAnsi="Arial" w:cs="Arial"/>
          <w:sz w:val="24"/>
          <w:szCs w:val="24"/>
        </w:rPr>
        <w:t xml:space="preserve"> investment advice and management,</w:t>
      </w:r>
      <w:r w:rsidR="004A3F2C" w:rsidRPr="00594655">
        <w:rPr>
          <w:rFonts w:ascii="Arial" w:hAnsi="Arial" w:cs="Arial"/>
          <w:sz w:val="24"/>
          <w:szCs w:val="24"/>
        </w:rPr>
        <w:t xml:space="preserve"> a range</w:t>
      </w:r>
      <w:r w:rsidR="004911B1" w:rsidRPr="00594655">
        <w:rPr>
          <w:rFonts w:ascii="Arial" w:hAnsi="Arial" w:cs="Arial"/>
          <w:sz w:val="24"/>
          <w:szCs w:val="24"/>
        </w:rPr>
        <w:t xml:space="preserve"> </w:t>
      </w:r>
      <w:r w:rsidR="004A3F2C" w:rsidRPr="00594655">
        <w:rPr>
          <w:rFonts w:ascii="Arial" w:hAnsi="Arial" w:cs="Arial"/>
          <w:sz w:val="24"/>
          <w:szCs w:val="24"/>
        </w:rPr>
        <w:t>of</w:t>
      </w:r>
      <w:r w:rsidR="004911B1" w:rsidRPr="00594655">
        <w:rPr>
          <w:rFonts w:ascii="Arial" w:hAnsi="Arial" w:cs="Arial"/>
          <w:sz w:val="24"/>
          <w:szCs w:val="24"/>
        </w:rPr>
        <w:t xml:space="preserve"> 0.75% </w:t>
      </w:r>
      <w:r w:rsidR="008125CE">
        <w:rPr>
          <w:rFonts w:ascii="Arial" w:hAnsi="Arial" w:cs="Arial"/>
          <w:sz w:val="24"/>
          <w:szCs w:val="24"/>
        </w:rPr>
        <w:t xml:space="preserve">to </w:t>
      </w:r>
      <w:r w:rsidR="004911B1" w:rsidRPr="00594655">
        <w:rPr>
          <w:rFonts w:ascii="Arial" w:hAnsi="Arial" w:cs="Arial"/>
          <w:sz w:val="24"/>
          <w:szCs w:val="24"/>
        </w:rPr>
        <w:t xml:space="preserve">1.75%. </w:t>
      </w:r>
      <w:r w:rsidR="005319C8">
        <w:rPr>
          <w:rFonts w:ascii="Arial" w:hAnsi="Arial" w:cs="Arial"/>
          <w:sz w:val="24"/>
          <w:szCs w:val="24"/>
        </w:rPr>
        <w:t>A figure within the overall range of 1.0% to 1.75% is now recommended</w:t>
      </w:r>
      <w:r w:rsidR="00922F2C">
        <w:rPr>
          <w:rFonts w:ascii="Arial" w:hAnsi="Arial" w:cs="Arial"/>
          <w:sz w:val="24"/>
          <w:szCs w:val="24"/>
        </w:rPr>
        <w:t>,</w:t>
      </w:r>
      <w:r w:rsidR="005319C8">
        <w:rPr>
          <w:rFonts w:ascii="Arial" w:hAnsi="Arial" w:cs="Arial"/>
          <w:sz w:val="24"/>
          <w:szCs w:val="24"/>
        </w:rPr>
        <w:t xml:space="preserve"> with GAD concluding that a 0.5% increase would not be unreasonable.</w:t>
      </w:r>
    </w:p>
    <w:p w14:paraId="76369A9E" w14:textId="16514C1C" w:rsidR="004911B1" w:rsidRPr="00594655" w:rsidRDefault="004A3F2C" w:rsidP="00594655">
      <w:pPr>
        <w:pStyle w:val="ListParagraph"/>
        <w:numPr>
          <w:ilvl w:val="0"/>
          <w:numId w:val="9"/>
        </w:numPr>
        <w:spacing w:line="360" w:lineRule="auto"/>
        <w:ind w:left="709" w:hanging="709"/>
        <w:contextualSpacing w:val="0"/>
        <w:jc w:val="both"/>
        <w:rPr>
          <w:rFonts w:ascii="Arial" w:hAnsi="Arial" w:cs="Arial"/>
          <w:sz w:val="24"/>
          <w:szCs w:val="24"/>
        </w:rPr>
      </w:pPr>
      <w:r w:rsidRPr="00594655">
        <w:rPr>
          <w:rFonts w:ascii="Arial" w:hAnsi="Arial" w:cs="Arial"/>
          <w:sz w:val="24"/>
          <w:szCs w:val="24"/>
        </w:rPr>
        <w:lastRenderedPageBreak/>
        <w:t>The Department has</w:t>
      </w:r>
      <w:r w:rsidR="005319C8">
        <w:rPr>
          <w:rFonts w:ascii="Arial" w:hAnsi="Arial" w:cs="Arial"/>
          <w:sz w:val="24"/>
          <w:szCs w:val="24"/>
        </w:rPr>
        <w:t xml:space="preserve"> therefore</w:t>
      </w:r>
      <w:r w:rsidR="004911B1" w:rsidRPr="00594655">
        <w:rPr>
          <w:rFonts w:ascii="Arial" w:hAnsi="Arial" w:cs="Arial"/>
          <w:sz w:val="24"/>
          <w:szCs w:val="24"/>
        </w:rPr>
        <w:t xml:space="preserve"> concluded that it would be appropriate to </w:t>
      </w:r>
      <w:r w:rsidR="005319C8">
        <w:rPr>
          <w:rFonts w:ascii="Arial" w:hAnsi="Arial" w:cs="Arial"/>
          <w:sz w:val="24"/>
          <w:szCs w:val="24"/>
        </w:rPr>
        <w:t xml:space="preserve">provide for </w:t>
      </w:r>
      <w:r w:rsidR="004911B1" w:rsidRPr="00594655">
        <w:rPr>
          <w:rFonts w:ascii="Arial" w:hAnsi="Arial" w:cs="Arial"/>
          <w:sz w:val="24"/>
          <w:szCs w:val="24"/>
        </w:rPr>
        <w:t>a total deduction of 1.25%</w:t>
      </w:r>
      <w:r w:rsidR="002458B0" w:rsidRPr="00594655">
        <w:rPr>
          <w:rFonts w:ascii="Arial" w:hAnsi="Arial" w:cs="Arial"/>
          <w:sz w:val="24"/>
          <w:szCs w:val="24"/>
        </w:rPr>
        <w:t xml:space="preserve">, representing </w:t>
      </w:r>
      <w:r w:rsidR="004911B1" w:rsidRPr="00594655">
        <w:rPr>
          <w:rFonts w:ascii="Arial" w:hAnsi="Arial" w:cs="Arial"/>
          <w:sz w:val="24"/>
          <w:szCs w:val="24"/>
        </w:rPr>
        <w:t>an increase of 0.5%</w:t>
      </w:r>
      <w:r w:rsidR="002458B0" w:rsidRPr="00594655">
        <w:rPr>
          <w:rFonts w:ascii="Arial" w:hAnsi="Arial" w:cs="Arial"/>
          <w:sz w:val="24"/>
          <w:szCs w:val="24"/>
        </w:rPr>
        <w:t>.</w:t>
      </w:r>
      <w:r w:rsidRPr="00594655">
        <w:rPr>
          <w:rFonts w:ascii="Arial" w:hAnsi="Arial" w:cs="Arial"/>
          <w:sz w:val="24"/>
          <w:szCs w:val="24"/>
        </w:rPr>
        <w:t xml:space="preserve"> This is to</w:t>
      </w:r>
      <w:r w:rsidR="002458B0" w:rsidRPr="00594655">
        <w:rPr>
          <w:rFonts w:ascii="Arial" w:hAnsi="Arial" w:cs="Arial"/>
          <w:sz w:val="24"/>
          <w:szCs w:val="24"/>
        </w:rPr>
        <w:t xml:space="preserve"> reflect </w:t>
      </w:r>
      <w:r w:rsidR="005319C8">
        <w:rPr>
          <w:rFonts w:ascii="Arial" w:hAnsi="Arial" w:cs="Arial"/>
          <w:sz w:val="24"/>
          <w:szCs w:val="24"/>
        </w:rPr>
        <w:t>the</w:t>
      </w:r>
      <w:r w:rsidR="002458B0" w:rsidRPr="00594655">
        <w:rPr>
          <w:rFonts w:ascii="Arial" w:hAnsi="Arial" w:cs="Arial"/>
          <w:sz w:val="24"/>
          <w:szCs w:val="24"/>
        </w:rPr>
        <w:t xml:space="preserve"> estimated increase in the tax burden of the average claimant of around 0.5% since the original analysis, and the likelihood that increases to investment costs are not significant for the hypothetical</w:t>
      </w:r>
      <w:r w:rsidRPr="00594655">
        <w:rPr>
          <w:rFonts w:ascii="Arial" w:hAnsi="Arial" w:cs="Arial"/>
          <w:sz w:val="24"/>
          <w:szCs w:val="24"/>
        </w:rPr>
        <w:t xml:space="preserve"> claimant</w:t>
      </w:r>
      <w:r w:rsidR="002458B0" w:rsidRPr="00594655">
        <w:rPr>
          <w:rFonts w:ascii="Arial" w:hAnsi="Arial" w:cs="Arial"/>
          <w:sz w:val="24"/>
          <w:szCs w:val="24"/>
        </w:rPr>
        <w:t xml:space="preserve"> investor, who is assumed to adopt a passive investment strategy that requires less advice and management</w:t>
      </w:r>
      <w:r w:rsidRPr="00594655">
        <w:rPr>
          <w:rFonts w:ascii="Arial" w:hAnsi="Arial" w:cs="Arial"/>
          <w:sz w:val="24"/>
          <w:szCs w:val="24"/>
        </w:rPr>
        <w:t>,</w:t>
      </w:r>
      <w:r w:rsidR="002458B0" w:rsidRPr="00594655">
        <w:rPr>
          <w:rFonts w:ascii="Arial" w:hAnsi="Arial" w:cs="Arial"/>
          <w:sz w:val="24"/>
          <w:szCs w:val="24"/>
        </w:rPr>
        <w:t xml:space="preserve"> and thus costs at the lowest end of the range.</w:t>
      </w:r>
    </w:p>
    <w:p w14:paraId="7A075455" w14:textId="769A6AE5" w:rsidR="002458B0" w:rsidRPr="002458B0" w:rsidRDefault="002458B0" w:rsidP="002458B0">
      <w:pPr>
        <w:spacing w:line="360" w:lineRule="auto"/>
        <w:jc w:val="both"/>
        <w:rPr>
          <w:rFonts w:ascii="Arial" w:hAnsi="Arial" w:cs="Arial"/>
          <w:b/>
          <w:bCs/>
          <w:sz w:val="24"/>
          <w:szCs w:val="24"/>
        </w:rPr>
      </w:pPr>
      <w:r w:rsidRPr="002458B0">
        <w:rPr>
          <w:rFonts w:ascii="Arial" w:hAnsi="Arial" w:cs="Arial"/>
          <w:b/>
          <w:bCs/>
          <w:sz w:val="24"/>
          <w:szCs w:val="24"/>
        </w:rPr>
        <w:t>Further margin</w:t>
      </w:r>
    </w:p>
    <w:p w14:paraId="4F6B1966" w14:textId="69AD96A0" w:rsidR="002458B0" w:rsidRDefault="004A3F2C"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Once again</w:t>
      </w:r>
      <w:r w:rsidR="0048558E">
        <w:rPr>
          <w:rFonts w:ascii="Arial" w:hAnsi="Arial" w:cs="Arial"/>
          <w:sz w:val="24"/>
          <w:szCs w:val="24"/>
        </w:rPr>
        <w:t>,</w:t>
      </w:r>
      <w:r>
        <w:rPr>
          <w:rFonts w:ascii="Arial" w:hAnsi="Arial" w:cs="Arial"/>
          <w:sz w:val="24"/>
          <w:szCs w:val="24"/>
        </w:rPr>
        <w:t xml:space="preserve"> the views of consultees </w:t>
      </w:r>
      <w:r w:rsidR="007F2C52">
        <w:rPr>
          <w:rFonts w:ascii="Arial" w:hAnsi="Arial" w:cs="Arial"/>
          <w:sz w:val="24"/>
          <w:szCs w:val="24"/>
        </w:rPr>
        <w:t>differ</w:t>
      </w:r>
      <w:r w:rsidR="005319C8">
        <w:rPr>
          <w:rFonts w:ascii="Arial" w:hAnsi="Arial" w:cs="Arial"/>
          <w:sz w:val="24"/>
          <w:szCs w:val="24"/>
        </w:rPr>
        <w:t>ed</w:t>
      </w:r>
      <w:r w:rsidR="007F2C52">
        <w:rPr>
          <w:rFonts w:ascii="Arial" w:hAnsi="Arial" w:cs="Arial"/>
          <w:sz w:val="24"/>
          <w:szCs w:val="24"/>
        </w:rPr>
        <w:t xml:space="preserve"> between those </w:t>
      </w:r>
      <w:r>
        <w:rPr>
          <w:rFonts w:ascii="Arial" w:hAnsi="Arial" w:cs="Arial"/>
          <w:sz w:val="24"/>
          <w:szCs w:val="24"/>
        </w:rPr>
        <w:t>representing claimants</w:t>
      </w:r>
      <w:r w:rsidR="007F2C52">
        <w:rPr>
          <w:rFonts w:ascii="Arial" w:hAnsi="Arial" w:cs="Arial"/>
          <w:sz w:val="24"/>
          <w:szCs w:val="24"/>
        </w:rPr>
        <w:t>, who support the further margin</w:t>
      </w:r>
      <w:r w:rsidR="005319C8">
        <w:rPr>
          <w:rFonts w:ascii="Arial" w:hAnsi="Arial" w:cs="Arial"/>
          <w:sz w:val="24"/>
          <w:szCs w:val="24"/>
        </w:rPr>
        <w:t>, with some suggesting it should be higher,</w:t>
      </w:r>
      <w:r>
        <w:rPr>
          <w:rFonts w:ascii="Arial" w:hAnsi="Arial" w:cs="Arial"/>
          <w:sz w:val="24"/>
          <w:szCs w:val="24"/>
        </w:rPr>
        <w:t xml:space="preserve"> and</w:t>
      </w:r>
      <w:r w:rsidR="007F2C52">
        <w:rPr>
          <w:rFonts w:ascii="Arial" w:hAnsi="Arial" w:cs="Arial"/>
          <w:sz w:val="24"/>
          <w:szCs w:val="24"/>
        </w:rPr>
        <w:t xml:space="preserve"> those representing defendants who argued for its reduction.</w:t>
      </w:r>
      <w:r>
        <w:rPr>
          <w:rFonts w:ascii="Arial" w:hAnsi="Arial" w:cs="Arial"/>
          <w:sz w:val="24"/>
          <w:szCs w:val="24"/>
        </w:rPr>
        <w:t xml:space="preserve"> </w:t>
      </w:r>
      <w:r w:rsidR="00D31736">
        <w:rPr>
          <w:rFonts w:ascii="Arial" w:hAnsi="Arial" w:cs="Arial"/>
          <w:sz w:val="24"/>
          <w:szCs w:val="24"/>
        </w:rPr>
        <w:t>GAD’s previous analysis – that a margin of 0.5% results in broadly a 30–35% chance of under-compensation – remains unchanged.</w:t>
      </w:r>
      <w:r w:rsidR="007F2C52">
        <w:rPr>
          <w:rFonts w:ascii="Arial" w:hAnsi="Arial" w:cs="Arial"/>
          <w:sz w:val="24"/>
          <w:szCs w:val="24"/>
        </w:rPr>
        <w:t xml:space="preserve"> As the Department considers that this remains an appropriate</w:t>
      </w:r>
      <w:r w:rsidR="00D31736">
        <w:rPr>
          <w:rFonts w:ascii="Arial" w:hAnsi="Arial" w:cs="Arial"/>
          <w:sz w:val="24"/>
          <w:szCs w:val="24"/>
        </w:rPr>
        <w:t xml:space="preserve"> level of prudence, </w:t>
      </w:r>
      <w:r w:rsidR="007F2C52">
        <w:rPr>
          <w:rFonts w:ascii="Arial" w:hAnsi="Arial" w:cs="Arial"/>
          <w:sz w:val="24"/>
          <w:szCs w:val="24"/>
        </w:rPr>
        <w:t>no change to</w:t>
      </w:r>
      <w:r w:rsidR="00D31736">
        <w:rPr>
          <w:rFonts w:ascii="Arial" w:hAnsi="Arial" w:cs="Arial"/>
          <w:sz w:val="24"/>
          <w:szCs w:val="24"/>
        </w:rPr>
        <w:t xml:space="preserve"> the further margin</w:t>
      </w:r>
      <w:r w:rsidR="007F2C52">
        <w:rPr>
          <w:rFonts w:ascii="Arial" w:hAnsi="Arial" w:cs="Arial"/>
          <w:sz w:val="24"/>
          <w:szCs w:val="24"/>
        </w:rPr>
        <w:t xml:space="preserve"> is proposed</w:t>
      </w:r>
      <w:r w:rsidR="00D31736">
        <w:rPr>
          <w:rFonts w:ascii="Arial" w:hAnsi="Arial" w:cs="Arial"/>
          <w:sz w:val="24"/>
          <w:szCs w:val="24"/>
        </w:rPr>
        <w:t>.</w:t>
      </w:r>
    </w:p>
    <w:p w14:paraId="5AF4D9ED" w14:textId="0F964F48" w:rsidR="00D31736" w:rsidRPr="00D31736" w:rsidRDefault="00D31736" w:rsidP="00D31736">
      <w:pPr>
        <w:spacing w:line="360" w:lineRule="auto"/>
        <w:jc w:val="both"/>
        <w:rPr>
          <w:rFonts w:ascii="Arial" w:hAnsi="Arial" w:cs="Arial"/>
          <w:b/>
          <w:bCs/>
          <w:sz w:val="24"/>
          <w:szCs w:val="24"/>
        </w:rPr>
      </w:pPr>
      <w:r w:rsidRPr="00D31736">
        <w:rPr>
          <w:rFonts w:ascii="Arial" w:hAnsi="Arial" w:cs="Arial"/>
          <w:b/>
          <w:bCs/>
          <w:sz w:val="24"/>
          <w:szCs w:val="24"/>
        </w:rPr>
        <w:t>Dual or multiple rates</w:t>
      </w:r>
    </w:p>
    <w:p w14:paraId="5142FBE2" w14:textId="7C0AD596" w:rsidR="00D31736" w:rsidRDefault="00D31736" w:rsidP="0091543F">
      <w:pPr>
        <w:pStyle w:val="ListParagraph"/>
        <w:numPr>
          <w:ilvl w:val="0"/>
          <w:numId w:val="9"/>
        </w:numPr>
        <w:spacing w:line="360" w:lineRule="auto"/>
        <w:ind w:left="709" w:hanging="709"/>
        <w:contextualSpacing w:val="0"/>
        <w:jc w:val="both"/>
        <w:rPr>
          <w:rFonts w:ascii="Arial" w:hAnsi="Arial" w:cs="Arial"/>
          <w:sz w:val="24"/>
          <w:szCs w:val="24"/>
        </w:rPr>
      </w:pPr>
      <w:r>
        <w:rPr>
          <w:rFonts w:ascii="Arial" w:hAnsi="Arial" w:cs="Arial"/>
          <w:sz w:val="24"/>
          <w:szCs w:val="24"/>
        </w:rPr>
        <w:t xml:space="preserve">A single rate has the benefit of providing transparency and certainty and being straightforward for parties and the courts to calculate. While setting more than one rate might provide benefits (by allowing, for example, different expected investment returns to be </w:t>
      </w:r>
      <w:proofErr w:type="gramStart"/>
      <w:r>
        <w:rPr>
          <w:rFonts w:ascii="Arial" w:hAnsi="Arial" w:cs="Arial"/>
          <w:sz w:val="24"/>
          <w:szCs w:val="24"/>
        </w:rPr>
        <w:t>taken into account</w:t>
      </w:r>
      <w:proofErr w:type="gramEnd"/>
      <w:r>
        <w:rPr>
          <w:rFonts w:ascii="Arial" w:hAnsi="Arial" w:cs="Arial"/>
          <w:sz w:val="24"/>
          <w:szCs w:val="24"/>
        </w:rPr>
        <w:t xml:space="preserve"> for different periods of award, or different rates of inflation for different heads of loss), stakeholders representing both claimants and defendants appear</w:t>
      </w:r>
      <w:r w:rsidR="007F2C52">
        <w:rPr>
          <w:rFonts w:ascii="Arial" w:hAnsi="Arial" w:cs="Arial"/>
          <w:sz w:val="24"/>
          <w:szCs w:val="24"/>
        </w:rPr>
        <w:t>ed</w:t>
      </w:r>
      <w:r>
        <w:rPr>
          <w:rFonts w:ascii="Arial" w:hAnsi="Arial" w:cs="Arial"/>
          <w:sz w:val="24"/>
          <w:szCs w:val="24"/>
        </w:rPr>
        <w:t xml:space="preserve"> unconvinced that such benefits would outweigh the practical disadvantages </w:t>
      </w:r>
      <w:r w:rsidR="00811025">
        <w:rPr>
          <w:rFonts w:ascii="Arial" w:hAnsi="Arial" w:cs="Arial"/>
          <w:sz w:val="24"/>
          <w:szCs w:val="24"/>
        </w:rPr>
        <w:t xml:space="preserve">that would accompany a move to more than one rate. Some of the disadvantages highlighted include the cost of implementation, additional complexity in negotiations, and the possibility of loss of trust in the system. </w:t>
      </w:r>
      <w:r w:rsidR="00CB3726">
        <w:rPr>
          <w:rFonts w:ascii="Arial" w:hAnsi="Arial" w:cs="Arial"/>
          <w:sz w:val="24"/>
          <w:szCs w:val="24"/>
        </w:rPr>
        <w:t>Having regard to</w:t>
      </w:r>
      <w:r w:rsidR="00594655">
        <w:rPr>
          <w:rFonts w:ascii="Arial" w:hAnsi="Arial" w:cs="Arial"/>
          <w:sz w:val="24"/>
          <w:szCs w:val="24"/>
        </w:rPr>
        <w:t xml:space="preserve"> the </w:t>
      </w:r>
      <w:r w:rsidR="00CB3726">
        <w:rPr>
          <w:rFonts w:ascii="Arial" w:hAnsi="Arial" w:cs="Arial"/>
          <w:sz w:val="24"/>
          <w:szCs w:val="24"/>
        </w:rPr>
        <w:t xml:space="preserve">concerns of stakeholders about complexity and the need for further evidence and analysis, GAD’s advice was that a single rate remains appropriate. </w:t>
      </w:r>
      <w:r w:rsidR="007F2C52">
        <w:rPr>
          <w:rFonts w:ascii="Arial" w:hAnsi="Arial" w:cs="Arial"/>
          <w:sz w:val="24"/>
          <w:szCs w:val="24"/>
        </w:rPr>
        <w:t>The Department therefore proposes</w:t>
      </w:r>
      <w:r w:rsidR="00811025">
        <w:rPr>
          <w:rFonts w:ascii="Arial" w:hAnsi="Arial" w:cs="Arial"/>
          <w:sz w:val="24"/>
          <w:szCs w:val="24"/>
        </w:rPr>
        <w:t xml:space="preserve"> to continue with a single rate.</w:t>
      </w:r>
    </w:p>
    <w:p w14:paraId="42133BF2" w14:textId="77777777" w:rsidR="0091543F" w:rsidRDefault="0091543F">
      <w:pPr>
        <w:spacing w:after="0"/>
        <w:rPr>
          <w:rFonts w:ascii="Arial" w:eastAsiaTheme="majorEastAsia" w:hAnsi="Arial" w:cs="Arial"/>
          <w:color w:val="2F5496" w:themeColor="accent1" w:themeShade="BF"/>
          <w:sz w:val="32"/>
          <w:szCs w:val="32"/>
        </w:rPr>
      </w:pPr>
      <w:r>
        <w:br w:type="page"/>
      </w:r>
    </w:p>
    <w:p w14:paraId="5007F74D" w14:textId="07B4E71F" w:rsidR="0091543F" w:rsidRPr="009C3328" w:rsidRDefault="0091543F" w:rsidP="0091543F">
      <w:pPr>
        <w:pStyle w:val="Heading1"/>
      </w:pPr>
      <w:r>
        <w:lastRenderedPageBreak/>
        <w:t>3</w:t>
      </w:r>
      <w:r w:rsidRPr="009C3328">
        <w:t xml:space="preserve">. </w:t>
      </w:r>
      <w:r>
        <w:t>Next steps</w:t>
      </w:r>
    </w:p>
    <w:p w14:paraId="47FE10F3" w14:textId="77777777" w:rsidR="0091543F" w:rsidRDefault="0091543F" w:rsidP="0091543F">
      <w:pPr>
        <w:pStyle w:val="ListParagraph"/>
        <w:spacing w:line="360" w:lineRule="auto"/>
        <w:ind w:left="709"/>
        <w:contextualSpacing w:val="0"/>
        <w:jc w:val="both"/>
        <w:rPr>
          <w:rFonts w:ascii="Arial" w:hAnsi="Arial" w:cs="Arial"/>
          <w:sz w:val="24"/>
          <w:szCs w:val="24"/>
        </w:rPr>
      </w:pPr>
    </w:p>
    <w:p w14:paraId="49D94B92" w14:textId="6EA58DFC" w:rsidR="0091543F" w:rsidRPr="0091543F" w:rsidRDefault="007F2C52" w:rsidP="0091543F">
      <w:pPr>
        <w:spacing w:line="360" w:lineRule="auto"/>
        <w:jc w:val="both"/>
        <w:rPr>
          <w:rFonts w:ascii="Arial" w:hAnsi="Arial" w:cs="Arial"/>
          <w:sz w:val="24"/>
          <w:szCs w:val="24"/>
        </w:rPr>
      </w:pPr>
      <w:r>
        <w:rPr>
          <w:rFonts w:ascii="Arial" w:hAnsi="Arial" w:cs="Arial"/>
          <w:b/>
          <w:bCs/>
          <w:sz w:val="24"/>
          <w:szCs w:val="24"/>
        </w:rPr>
        <w:t>Secondary legislation</w:t>
      </w:r>
    </w:p>
    <w:p w14:paraId="366C91F4" w14:textId="34C87BF6" w:rsidR="0091543F" w:rsidRDefault="0091543F" w:rsidP="0091543F">
      <w:pPr>
        <w:pStyle w:val="ListParagraph"/>
        <w:numPr>
          <w:ilvl w:val="0"/>
          <w:numId w:val="10"/>
        </w:numPr>
        <w:spacing w:line="360" w:lineRule="auto"/>
        <w:ind w:left="709" w:hanging="709"/>
        <w:contextualSpacing w:val="0"/>
        <w:jc w:val="both"/>
        <w:rPr>
          <w:rFonts w:ascii="Arial" w:hAnsi="Arial" w:cs="Arial"/>
          <w:sz w:val="24"/>
          <w:szCs w:val="24"/>
        </w:rPr>
      </w:pPr>
      <w:r>
        <w:rPr>
          <w:rFonts w:ascii="Arial" w:hAnsi="Arial" w:cs="Arial"/>
          <w:sz w:val="24"/>
          <w:szCs w:val="24"/>
        </w:rPr>
        <w:t>Based on the policy decisions made by the Permanent Secretary and outlined above, the Minister now intends to lay before the Assembly</w:t>
      </w:r>
      <w:r w:rsidR="007F2C52">
        <w:rPr>
          <w:rFonts w:ascii="Arial" w:hAnsi="Arial" w:cs="Arial"/>
          <w:sz w:val="24"/>
          <w:szCs w:val="24"/>
        </w:rPr>
        <w:t xml:space="preserve"> draft</w:t>
      </w:r>
      <w:r>
        <w:rPr>
          <w:rFonts w:ascii="Arial" w:hAnsi="Arial" w:cs="Arial"/>
          <w:sz w:val="24"/>
          <w:szCs w:val="24"/>
        </w:rPr>
        <w:t xml:space="preserve"> regulations that will:</w:t>
      </w:r>
    </w:p>
    <w:p w14:paraId="7FE8E361" w14:textId="77777777" w:rsidR="0091543F" w:rsidRDefault="0091543F" w:rsidP="0091543F">
      <w:pPr>
        <w:pStyle w:val="ListParagraph"/>
        <w:numPr>
          <w:ilvl w:val="1"/>
          <w:numId w:val="10"/>
        </w:numPr>
        <w:spacing w:line="360" w:lineRule="auto"/>
        <w:ind w:left="1134"/>
        <w:contextualSpacing w:val="0"/>
        <w:jc w:val="both"/>
        <w:rPr>
          <w:rFonts w:ascii="Arial" w:hAnsi="Arial" w:cs="Arial"/>
          <w:sz w:val="24"/>
          <w:szCs w:val="24"/>
        </w:rPr>
      </w:pPr>
      <w:r w:rsidRPr="0091543F">
        <w:rPr>
          <w:rFonts w:ascii="Arial" w:hAnsi="Arial" w:cs="Arial"/>
          <w:sz w:val="24"/>
          <w:szCs w:val="24"/>
        </w:rPr>
        <w:t xml:space="preserve">prescribe annual weekly earnings as an alternative measure of inflation to RPI, and </w:t>
      </w:r>
    </w:p>
    <w:p w14:paraId="77E3C6E6" w14:textId="14EFDF2B" w:rsidR="0091543F" w:rsidRPr="0091543F" w:rsidRDefault="0091543F" w:rsidP="0091543F">
      <w:pPr>
        <w:pStyle w:val="ListParagraph"/>
        <w:numPr>
          <w:ilvl w:val="1"/>
          <w:numId w:val="10"/>
        </w:numPr>
        <w:spacing w:line="360" w:lineRule="auto"/>
        <w:ind w:left="1134"/>
        <w:contextualSpacing w:val="0"/>
        <w:jc w:val="both"/>
        <w:rPr>
          <w:rFonts w:ascii="Arial" w:hAnsi="Arial" w:cs="Arial"/>
          <w:sz w:val="24"/>
          <w:szCs w:val="24"/>
        </w:rPr>
      </w:pPr>
      <w:r>
        <w:rPr>
          <w:rFonts w:ascii="Arial" w:hAnsi="Arial" w:cs="Arial"/>
          <w:sz w:val="24"/>
          <w:szCs w:val="24"/>
        </w:rPr>
        <w:t>modify</w:t>
      </w:r>
      <w:r w:rsidRPr="0091543F">
        <w:rPr>
          <w:rFonts w:ascii="Arial" w:hAnsi="Arial" w:cs="Arial"/>
          <w:sz w:val="24"/>
          <w:szCs w:val="24"/>
        </w:rPr>
        <w:t xml:space="preserve"> the standard adjustment for taxation and</w:t>
      </w:r>
      <w:r w:rsidR="007F2C52">
        <w:rPr>
          <w:rFonts w:ascii="Arial" w:hAnsi="Arial" w:cs="Arial"/>
          <w:sz w:val="24"/>
          <w:szCs w:val="24"/>
        </w:rPr>
        <w:t xml:space="preserve"> the costs of</w:t>
      </w:r>
      <w:r w:rsidRPr="0091543F">
        <w:rPr>
          <w:rFonts w:ascii="Arial" w:hAnsi="Arial" w:cs="Arial"/>
          <w:sz w:val="24"/>
          <w:szCs w:val="24"/>
        </w:rPr>
        <w:t xml:space="preserve"> investment advice and management from 0.75% to 1.25%</w:t>
      </w:r>
      <w:r>
        <w:rPr>
          <w:rFonts w:ascii="Arial" w:hAnsi="Arial" w:cs="Arial"/>
          <w:sz w:val="24"/>
          <w:szCs w:val="24"/>
        </w:rPr>
        <w:t>.</w:t>
      </w:r>
    </w:p>
    <w:p w14:paraId="1E53841C" w14:textId="1302F699" w:rsidR="0091543F" w:rsidRDefault="007F2C52" w:rsidP="0091543F">
      <w:pPr>
        <w:pStyle w:val="ListParagraph"/>
        <w:numPr>
          <w:ilvl w:val="0"/>
          <w:numId w:val="10"/>
        </w:numPr>
        <w:spacing w:line="360" w:lineRule="auto"/>
        <w:ind w:left="709" w:hanging="709"/>
        <w:contextualSpacing w:val="0"/>
        <w:jc w:val="both"/>
        <w:rPr>
          <w:rFonts w:ascii="Arial" w:hAnsi="Arial" w:cs="Arial"/>
          <w:sz w:val="24"/>
          <w:szCs w:val="24"/>
        </w:rPr>
      </w:pPr>
      <w:r>
        <w:rPr>
          <w:rFonts w:ascii="Arial" w:hAnsi="Arial" w:cs="Arial"/>
          <w:sz w:val="24"/>
          <w:szCs w:val="24"/>
        </w:rPr>
        <w:t>T</w:t>
      </w:r>
      <w:r w:rsidR="0091543F">
        <w:rPr>
          <w:rFonts w:ascii="Arial" w:hAnsi="Arial" w:cs="Arial"/>
          <w:sz w:val="24"/>
          <w:szCs w:val="24"/>
        </w:rPr>
        <w:t>he Minister will</w:t>
      </w:r>
      <w:r>
        <w:rPr>
          <w:rFonts w:ascii="Arial" w:hAnsi="Arial" w:cs="Arial"/>
          <w:sz w:val="24"/>
          <w:szCs w:val="24"/>
        </w:rPr>
        <w:t xml:space="preserve"> then</w:t>
      </w:r>
      <w:r w:rsidR="0091543F">
        <w:rPr>
          <w:rFonts w:ascii="Arial" w:hAnsi="Arial" w:cs="Arial"/>
          <w:sz w:val="24"/>
          <w:szCs w:val="24"/>
        </w:rPr>
        <w:t xml:space="preserve"> bring a motion before the Assembly for their a</w:t>
      </w:r>
      <w:r>
        <w:rPr>
          <w:rFonts w:ascii="Arial" w:hAnsi="Arial" w:cs="Arial"/>
          <w:sz w:val="24"/>
          <w:szCs w:val="24"/>
        </w:rPr>
        <w:t>pproval</w:t>
      </w:r>
      <w:r w:rsidR="0091543F">
        <w:rPr>
          <w:rFonts w:ascii="Arial" w:hAnsi="Arial" w:cs="Arial"/>
          <w:sz w:val="24"/>
          <w:szCs w:val="24"/>
        </w:rPr>
        <w:t>.</w:t>
      </w:r>
    </w:p>
    <w:p w14:paraId="052940EB" w14:textId="6492E077" w:rsidR="0091543F" w:rsidRDefault="007F2C52" w:rsidP="0091543F">
      <w:pPr>
        <w:pStyle w:val="ListParagraph"/>
        <w:numPr>
          <w:ilvl w:val="0"/>
          <w:numId w:val="10"/>
        </w:numPr>
        <w:spacing w:line="360" w:lineRule="auto"/>
        <w:ind w:left="709" w:hanging="709"/>
        <w:contextualSpacing w:val="0"/>
        <w:jc w:val="both"/>
        <w:rPr>
          <w:rFonts w:ascii="Arial" w:hAnsi="Arial" w:cs="Arial"/>
          <w:sz w:val="24"/>
          <w:szCs w:val="24"/>
        </w:rPr>
      </w:pPr>
      <w:r>
        <w:rPr>
          <w:rFonts w:ascii="Arial" w:hAnsi="Arial" w:cs="Arial"/>
          <w:sz w:val="24"/>
          <w:szCs w:val="24"/>
        </w:rPr>
        <w:t>Subject to the</w:t>
      </w:r>
      <w:r w:rsidR="0091543F">
        <w:rPr>
          <w:rFonts w:ascii="Arial" w:hAnsi="Arial" w:cs="Arial"/>
          <w:sz w:val="24"/>
          <w:szCs w:val="24"/>
        </w:rPr>
        <w:t xml:space="preserve"> Assembly a</w:t>
      </w:r>
      <w:r>
        <w:rPr>
          <w:rFonts w:ascii="Arial" w:hAnsi="Arial" w:cs="Arial"/>
          <w:sz w:val="24"/>
          <w:szCs w:val="24"/>
        </w:rPr>
        <w:t>pproving</w:t>
      </w:r>
      <w:r w:rsidR="0091543F">
        <w:rPr>
          <w:rFonts w:ascii="Arial" w:hAnsi="Arial" w:cs="Arial"/>
          <w:sz w:val="24"/>
          <w:szCs w:val="24"/>
        </w:rPr>
        <w:t xml:space="preserve"> the</w:t>
      </w:r>
      <w:r>
        <w:rPr>
          <w:rFonts w:ascii="Arial" w:hAnsi="Arial" w:cs="Arial"/>
          <w:sz w:val="24"/>
          <w:szCs w:val="24"/>
        </w:rPr>
        <w:t xml:space="preserve"> proposed</w:t>
      </w:r>
      <w:r w:rsidR="0091543F">
        <w:rPr>
          <w:rFonts w:ascii="Arial" w:hAnsi="Arial" w:cs="Arial"/>
          <w:sz w:val="24"/>
          <w:szCs w:val="24"/>
        </w:rPr>
        <w:t xml:space="preserve"> regulations, the</w:t>
      </w:r>
      <w:r>
        <w:rPr>
          <w:rFonts w:ascii="Arial" w:hAnsi="Arial" w:cs="Arial"/>
          <w:sz w:val="24"/>
          <w:szCs w:val="24"/>
        </w:rPr>
        <w:t>y will be made and</w:t>
      </w:r>
      <w:r w:rsidR="0091543F">
        <w:rPr>
          <w:rFonts w:ascii="Arial" w:hAnsi="Arial" w:cs="Arial"/>
          <w:sz w:val="24"/>
          <w:szCs w:val="24"/>
        </w:rPr>
        <w:t xml:space="preserve"> come into operation on</w:t>
      </w:r>
      <w:r w:rsidR="006306CA">
        <w:rPr>
          <w:rFonts w:ascii="Arial" w:hAnsi="Arial" w:cs="Arial"/>
          <w:sz w:val="24"/>
          <w:szCs w:val="24"/>
        </w:rPr>
        <w:t xml:space="preserve"> or before</w:t>
      </w:r>
      <w:r w:rsidR="0091543F">
        <w:rPr>
          <w:rFonts w:ascii="Arial" w:hAnsi="Arial" w:cs="Arial"/>
          <w:sz w:val="24"/>
          <w:szCs w:val="24"/>
        </w:rPr>
        <w:t xml:space="preserve"> 1 July 2024</w:t>
      </w:r>
      <w:r w:rsidR="00EF3D24">
        <w:rPr>
          <w:rFonts w:ascii="Arial" w:hAnsi="Arial" w:cs="Arial"/>
          <w:sz w:val="24"/>
          <w:szCs w:val="24"/>
        </w:rPr>
        <w:t>, in time for the Government’s Actuary’s review of the discount rate.</w:t>
      </w:r>
    </w:p>
    <w:p w14:paraId="7DC2B8D6" w14:textId="3D9D4761" w:rsidR="00EF3D24" w:rsidRPr="00EF3D24" w:rsidRDefault="00EF3D24" w:rsidP="00EF3D24">
      <w:pPr>
        <w:spacing w:line="360" w:lineRule="auto"/>
        <w:jc w:val="both"/>
        <w:rPr>
          <w:rFonts w:ascii="Arial" w:hAnsi="Arial" w:cs="Arial"/>
          <w:b/>
          <w:bCs/>
          <w:sz w:val="24"/>
          <w:szCs w:val="24"/>
        </w:rPr>
      </w:pPr>
      <w:r w:rsidRPr="00EF3D24">
        <w:rPr>
          <w:rFonts w:ascii="Arial" w:hAnsi="Arial" w:cs="Arial"/>
          <w:b/>
          <w:bCs/>
          <w:sz w:val="24"/>
          <w:szCs w:val="24"/>
        </w:rPr>
        <w:t>Review of</w:t>
      </w:r>
      <w:r>
        <w:rPr>
          <w:rFonts w:ascii="Arial" w:hAnsi="Arial" w:cs="Arial"/>
          <w:b/>
          <w:bCs/>
          <w:sz w:val="24"/>
          <w:szCs w:val="24"/>
        </w:rPr>
        <w:t xml:space="preserve"> provision</w:t>
      </w:r>
      <w:r w:rsidR="00CB3726">
        <w:rPr>
          <w:rFonts w:ascii="Arial" w:hAnsi="Arial" w:cs="Arial"/>
          <w:b/>
          <w:bCs/>
          <w:sz w:val="24"/>
          <w:szCs w:val="24"/>
        </w:rPr>
        <w:t xml:space="preserve"> to allow for the impact of inflation</w:t>
      </w:r>
    </w:p>
    <w:p w14:paraId="27F73CEA" w14:textId="06E14015" w:rsidR="00EF3D24" w:rsidRDefault="00EF3D24" w:rsidP="0091543F">
      <w:pPr>
        <w:pStyle w:val="ListParagraph"/>
        <w:numPr>
          <w:ilvl w:val="0"/>
          <w:numId w:val="10"/>
        </w:numPr>
        <w:spacing w:line="360" w:lineRule="auto"/>
        <w:ind w:left="709" w:hanging="709"/>
        <w:contextualSpacing w:val="0"/>
        <w:jc w:val="both"/>
        <w:rPr>
          <w:rFonts w:ascii="Arial" w:hAnsi="Arial" w:cs="Arial"/>
          <w:sz w:val="24"/>
          <w:szCs w:val="24"/>
        </w:rPr>
      </w:pPr>
      <w:r>
        <w:rPr>
          <w:rFonts w:ascii="Arial" w:hAnsi="Arial" w:cs="Arial"/>
          <w:sz w:val="24"/>
          <w:szCs w:val="24"/>
        </w:rPr>
        <w:t>Before the end of the current Assembly mandate, the Department will c</w:t>
      </w:r>
      <w:r w:rsidR="007F2C52">
        <w:rPr>
          <w:rFonts w:ascii="Arial" w:hAnsi="Arial" w:cs="Arial"/>
          <w:sz w:val="24"/>
          <w:szCs w:val="24"/>
        </w:rPr>
        <w:t>arry out</w:t>
      </w:r>
      <w:r>
        <w:rPr>
          <w:rFonts w:ascii="Arial" w:hAnsi="Arial" w:cs="Arial"/>
          <w:sz w:val="24"/>
          <w:szCs w:val="24"/>
        </w:rPr>
        <w:t xml:space="preserve"> a review of </w:t>
      </w:r>
      <w:r w:rsidR="007F2C52">
        <w:rPr>
          <w:rFonts w:ascii="Arial" w:hAnsi="Arial" w:cs="Arial"/>
          <w:sz w:val="24"/>
          <w:szCs w:val="24"/>
        </w:rPr>
        <w:t xml:space="preserve">how the legislation provides for the impact of inflation to be </w:t>
      </w:r>
      <w:proofErr w:type="gramStart"/>
      <w:r w:rsidR="007F2C52">
        <w:rPr>
          <w:rFonts w:ascii="Arial" w:hAnsi="Arial" w:cs="Arial"/>
          <w:sz w:val="24"/>
          <w:szCs w:val="24"/>
        </w:rPr>
        <w:t>taken into account</w:t>
      </w:r>
      <w:proofErr w:type="gramEnd"/>
      <w:r>
        <w:rPr>
          <w:rFonts w:ascii="Arial" w:hAnsi="Arial" w:cs="Arial"/>
          <w:sz w:val="24"/>
          <w:szCs w:val="24"/>
        </w:rPr>
        <w:t xml:space="preserve"> (paragraph 9 of Schedule C1</w:t>
      </w:r>
      <w:r w:rsidR="007F2C52">
        <w:rPr>
          <w:rFonts w:ascii="Arial" w:hAnsi="Arial" w:cs="Arial"/>
          <w:sz w:val="24"/>
          <w:szCs w:val="24"/>
        </w:rPr>
        <w:t xml:space="preserve"> to the Damages Act 1996</w:t>
      </w:r>
      <w:r>
        <w:rPr>
          <w:rFonts w:ascii="Arial" w:hAnsi="Arial" w:cs="Arial"/>
          <w:sz w:val="24"/>
          <w:szCs w:val="24"/>
        </w:rPr>
        <w:t>) to consider the scope for providing more flexibility.</w:t>
      </w:r>
    </w:p>
    <w:p w14:paraId="6128F7F9" w14:textId="77777777" w:rsidR="00EF3D24" w:rsidRDefault="00EF3D24" w:rsidP="00217309">
      <w:pPr>
        <w:tabs>
          <w:tab w:val="num" w:pos="0"/>
        </w:tabs>
        <w:spacing w:line="360" w:lineRule="auto"/>
        <w:jc w:val="both"/>
        <w:rPr>
          <w:rFonts w:ascii="Cambria" w:hAnsi="Cambria" w:cs="Arial"/>
        </w:rPr>
      </w:pPr>
    </w:p>
    <w:sectPr w:rsidR="00EF3D24" w:rsidSect="00C657E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8B02" w14:textId="77777777" w:rsidR="00C657E0" w:rsidRDefault="00C657E0" w:rsidP="00FE2F58">
      <w:pPr>
        <w:spacing w:after="0" w:line="240" w:lineRule="auto"/>
      </w:pPr>
      <w:r>
        <w:separator/>
      </w:r>
    </w:p>
  </w:endnote>
  <w:endnote w:type="continuationSeparator" w:id="0">
    <w:p w14:paraId="7975C4D8" w14:textId="77777777" w:rsidR="00C657E0" w:rsidRDefault="00C657E0" w:rsidP="00FE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91003"/>
      <w:docPartObj>
        <w:docPartGallery w:val="Page Numbers (Bottom of Page)"/>
        <w:docPartUnique/>
      </w:docPartObj>
    </w:sdtPr>
    <w:sdtEndPr>
      <w:rPr>
        <w:noProof/>
      </w:rPr>
    </w:sdtEndPr>
    <w:sdtContent>
      <w:p w14:paraId="3DA9C5A9" w14:textId="77777777" w:rsidR="00505713" w:rsidRDefault="00505713">
        <w:pPr>
          <w:pStyle w:val="Footer"/>
          <w:jc w:val="center"/>
        </w:pPr>
        <w:r w:rsidRPr="003D1C08">
          <w:rPr>
            <w:rFonts w:ascii="Arial" w:hAnsi="Arial" w:cs="Arial"/>
            <w:sz w:val="24"/>
          </w:rPr>
          <w:fldChar w:fldCharType="begin"/>
        </w:r>
        <w:r w:rsidRPr="003D1C08">
          <w:rPr>
            <w:rFonts w:ascii="Arial" w:hAnsi="Arial" w:cs="Arial"/>
            <w:sz w:val="24"/>
          </w:rPr>
          <w:instrText xml:space="preserve"> PAGE   \* MERGEFORMAT </w:instrText>
        </w:r>
        <w:r w:rsidRPr="003D1C08">
          <w:rPr>
            <w:rFonts w:ascii="Arial" w:hAnsi="Arial" w:cs="Arial"/>
            <w:sz w:val="24"/>
          </w:rPr>
          <w:fldChar w:fldCharType="separate"/>
        </w:r>
        <w:r>
          <w:rPr>
            <w:rFonts w:ascii="Arial" w:hAnsi="Arial" w:cs="Arial"/>
            <w:noProof/>
            <w:sz w:val="24"/>
          </w:rPr>
          <w:t>30</w:t>
        </w:r>
        <w:r w:rsidRPr="003D1C08">
          <w:rPr>
            <w:rFonts w:ascii="Arial" w:hAnsi="Arial" w:cs="Arial"/>
            <w:noProof/>
            <w:sz w:val="24"/>
          </w:rPr>
          <w:fldChar w:fldCharType="end"/>
        </w:r>
      </w:p>
    </w:sdtContent>
  </w:sdt>
  <w:p w14:paraId="3510BEE9" w14:textId="77777777" w:rsidR="00505713" w:rsidRDefault="0050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C1D6" w14:textId="77777777" w:rsidR="00C657E0" w:rsidRDefault="00C657E0" w:rsidP="00FE2F58">
      <w:pPr>
        <w:spacing w:after="0" w:line="240" w:lineRule="auto"/>
      </w:pPr>
      <w:r>
        <w:separator/>
      </w:r>
    </w:p>
  </w:footnote>
  <w:footnote w:type="continuationSeparator" w:id="0">
    <w:p w14:paraId="0F520FE0" w14:textId="77777777" w:rsidR="00C657E0" w:rsidRDefault="00C657E0" w:rsidP="00FE2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8481B64"/>
    <w:lvl w:ilvl="0">
      <w:start w:val="1"/>
      <w:numFmt w:val="bullet"/>
      <w:pStyle w:val="BulletNumbered1"/>
      <w:lvlText w:val=""/>
      <w:lvlJc w:val="left"/>
      <w:pPr>
        <w:ind w:left="1211" w:hanging="360"/>
      </w:pPr>
      <w:rPr>
        <w:rFonts w:ascii="Symbol" w:hAnsi="Symbol" w:hint="default"/>
        <w:strike w:val="0"/>
        <w:dstrike w:val="0"/>
        <w:color w:val="ED7D31" w:themeColor="accent2"/>
        <w:sz w:val="24"/>
      </w:rPr>
    </w:lvl>
  </w:abstractNum>
  <w:abstractNum w:abstractNumId="1" w15:restartNumberingAfterBreak="0">
    <w:nsid w:val="069F3912"/>
    <w:multiLevelType w:val="hybridMultilevel"/>
    <w:tmpl w:val="7124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4695"/>
    <w:multiLevelType w:val="hybridMultilevel"/>
    <w:tmpl w:val="2DB00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47F63"/>
    <w:multiLevelType w:val="hybridMultilevel"/>
    <w:tmpl w:val="953A3CA4"/>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4" w15:restartNumberingAfterBreak="0">
    <w:nsid w:val="3F2C496B"/>
    <w:multiLevelType w:val="hybridMultilevel"/>
    <w:tmpl w:val="8E2A5686"/>
    <w:lvl w:ilvl="0" w:tplc="D3CA8872">
      <w:start w:val="1"/>
      <w:numFmt w:val="decimal"/>
      <w:lvlText w:val="1.%1"/>
      <w:lvlJc w:val="left"/>
      <w:pPr>
        <w:ind w:left="2160" w:hanging="360"/>
      </w:pPr>
      <w:rPr>
        <w:rFonts w:hint="default"/>
        <w:b w:val="0"/>
        <w:color w:val="auto"/>
        <w:sz w:val="24"/>
        <w:szCs w:val="24"/>
      </w:rPr>
    </w:lvl>
    <w:lvl w:ilvl="1" w:tplc="08090001">
      <w:start w:val="1"/>
      <w:numFmt w:val="bullet"/>
      <w:lvlText w:val=""/>
      <w:lvlJc w:val="left"/>
      <w:pPr>
        <w:ind w:left="2880" w:hanging="360"/>
      </w:pPr>
      <w:rPr>
        <w:rFonts w:ascii="Symbol" w:hAnsi="Symbol" w:hint="default"/>
      </w:r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3363A9C"/>
    <w:multiLevelType w:val="hybridMultilevel"/>
    <w:tmpl w:val="39D056BC"/>
    <w:lvl w:ilvl="0" w:tplc="732E11E6">
      <w:start w:val="1"/>
      <w:numFmt w:val="decimal"/>
      <w:lvlText w:val="2.%1"/>
      <w:lvlJc w:val="left"/>
      <w:pPr>
        <w:ind w:left="2160" w:hanging="360"/>
      </w:pPr>
      <w:rPr>
        <w:rFonts w:hint="default"/>
        <w:b w:val="0"/>
        <w:color w:val="auto"/>
        <w:sz w:val="24"/>
        <w:szCs w:val="24"/>
      </w:r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483A1503"/>
    <w:multiLevelType w:val="hybridMultilevel"/>
    <w:tmpl w:val="745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30938"/>
    <w:multiLevelType w:val="hybridMultilevel"/>
    <w:tmpl w:val="AD0A0794"/>
    <w:lvl w:ilvl="0" w:tplc="FFFFFFFF">
      <w:start w:val="1"/>
      <w:numFmt w:val="decimal"/>
      <w:lvlText w:val="1.%1"/>
      <w:lvlJc w:val="left"/>
      <w:pPr>
        <w:ind w:left="2160" w:hanging="360"/>
      </w:pPr>
      <w:rPr>
        <w:rFonts w:hint="default"/>
        <w:b w:val="0"/>
        <w:color w:val="auto"/>
        <w:sz w:val="24"/>
        <w:szCs w:val="24"/>
      </w:rPr>
    </w:lvl>
    <w:lvl w:ilvl="1" w:tplc="08090003">
      <w:start w:val="1"/>
      <w:numFmt w:val="bullet"/>
      <w:lvlText w:val="o"/>
      <w:lvlJc w:val="left"/>
      <w:pPr>
        <w:ind w:left="2880" w:hanging="360"/>
      </w:pPr>
      <w:rPr>
        <w:rFonts w:ascii="Courier New" w:hAnsi="Courier New" w:cs="Courier New" w:hint="default"/>
      </w:r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54C72255"/>
    <w:multiLevelType w:val="hybridMultilevel"/>
    <w:tmpl w:val="2416D876"/>
    <w:lvl w:ilvl="0" w:tplc="2F28741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C3851"/>
    <w:multiLevelType w:val="hybridMultilevel"/>
    <w:tmpl w:val="CB3666AA"/>
    <w:lvl w:ilvl="0" w:tplc="AA8C6DC4">
      <w:start w:val="1"/>
      <w:numFmt w:val="bullet"/>
      <w:pStyle w:val="ListBullet2"/>
      <w:lvlText w:val=""/>
      <w:lvlJc w:val="left"/>
      <w:pPr>
        <w:ind w:left="720" w:hanging="363"/>
      </w:pPr>
      <w:rPr>
        <w:rFonts w:ascii="Symbol" w:hAnsi="Symbol" w:hint="default"/>
        <w:strike w:val="0"/>
        <w:dstrike w:val="0"/>
        <w:color w:val="872434"/>
        <w:sz w:val="24"/>
      </w:rPr>
    </w:lvl>
    <w:lvl w:ilvl="1" w:tplc="3BC8B9EE">
      <w:start w:val="1"/>
      <w:numFmt w:val="bullet"/>
      <w:lvlText w:val="o"/>
      <w:lvlJc w:val="left"/>
      <w:pPr>
        <w:ind w:left="2154" w:hanging="360"/>
      </w:pPr>
      <w:rPr>
        <w:rFonts w:ascii="Courier New" w:hAnsi="Courier New" w:cs="Courier New" w:hint="default"/>
        <w:color w:val="A5A5A5" w:themeColor="accent3"/>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5E9E1331"/>
    <w:multiLevelType w:val="hybridMultilevel"/>
    <w:tmpl w:val="145C8E8E"/>
    <w:lvl w:ilvl="0" w:tplc="6CD0F97E">
      <w:start w:val="1"/>
      <w:numFmt w:val="decimal"/>
      <w:lvlText w:val="3.%1"/>
      <w:lvlJc w:val="left"/>
      <w:pPr>
        <w:ind w:left="2160" w:hanging="360"/>
      </w:pPr>
      <w:rPr>
        <w:rFonts w:hint="default"/>
        <w:b w:val="0"/>
        <w:color w:val="auto"/>
        <w:sz w:val="24"/>
        <w:szCs w:val="24"/>
      </w:r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7AD34768"/>
    <w:multiLevelType w:val="hybridMultilevel"/>
    <w:tmpl w:val="5B1835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7DEA4796"/>
    <w:multiLevelType w:val="hybridMultilevel"/>
    <w:tmpl w:val="2DF2E4F4"/>
    <w:lvl w:ilvl="0" w:tplc="8FA08BC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472494">
    <w:abstractNumId w:val="1"/>
  </w:num>
  <w:num w:numId="2" w16cid:durableId="1999730600">
    <w:abstractNumId w:val="3"/>
  </w:num>
  <w:num w:numId="3" w16cid:durableId="1012797722">
    <w:abstractNumId w:val="4"/>
  </w:num>
  <w:num w:numId="4" w16cid:durableId="805928329">
    <w:abstractNumId w:val="12"/>
  </w:num>
  <w:num w:numId="5" w16cid:durableId="944771076">
    <w:abstractNumId w:val="8"/>
  </w:num>
  <w:num w:numId="6" w16cid:durableId="1116948884">
    <w:abstractNumId w:val="2"/>
  </w:num>
  <w:num w:numId="7" w16cid:durableId="1350328351">
    <w:abstractNumId w:val="6"/>
  </w:num>
  <w:num w:numId="8" w16cid:durableId="1697927186">
    <w:abstractNumId w:val="9"/>
  </w:num>
  <w:num w:numId="9" w16cid:durableId="577909537">
    <w:abstractNumId w:val="5"/>
  </w:num>
  <w:num w:numId="10" w16cid:durableId="1684626711">
    <w:abstractNumId w:val="10"/>
  </w:num>
  <w:num w:numId="11" w16cid:durableId="1231231863">
    <w:abstractNumId w:val="7"/>
  </w:num>
  <w:num w:numId="12" w16cid:durableId="1377853615">
    <w:abstractNumId w:val="0"/>
  </w:num>
  <w:num w:numId="13" w16cid:durableId="1464347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58"/>
    <w:rsid w:val="00031C24"/>
    <w:rsid w:val="000616C7"/>
    <w:rsid w:val="00061F20"/>
    <w:rsid w:val="000B212E"/>
    <w:rsid w:val="00132A3C"/>
    <w:rsid w:val="00135936"/>
    <w:rsid w:val="001F4C47"/>
    <w:rsid w:val="00200A64"/>
    <w:rsid w:val="00217309"/>
    <w:rsid w:val="002458B0"/>
    <w:rsid w:val="0027319E"/>
    <w:rsid w:val="002D7E98"/>
    <w:rsid w:val="00302A7C"/>
    <w:rsid w:val="00315FAD"/>
    <w:rsid w:val="00375555"/>
    <w:rsid w:val="00471BDC"/>
    <w:rsid w:val="004850DB"/>
    <w:rsid w:val="0048558E"/>
    <w:rsid w:val="004911B1"/>
    <w:rsid w:val="004A0684"/>
    <w:rsid w:val="004A3F2C"/>
    <w:rsid w:val="00505713"/>
    <w:rsid w:val="005319C8"/>
    <w:rsid w:val="00546256"/>
    <w:rsid w:val="00566F06"/>
    <w:rsid w:val="00594655"/>
    <w:rsid w:val="006306CA"/>
    <w:rsid w:val="006443F7"/>
    <w:rsid w:val="0065549D"/>
    <w:rsid w:val="006D0547"/>
    <w:rsid w:val="006E0FB9"/>
    <w:rsid w:val="00792AF7"/>
    <w:rsid w:val="007F2C52"/>
    <w:rsid w:val="00811025"/>
    <w:rsid w:val="008125CE"/>
    <w:rsid w:val="00855D59"/>
    <w:rsid w:val="00865E3E"/>
    <w:rsid w:val="00911CE7"/>
    <w:rsid w:val="0091543F"/>
    <w:rsid w:val="00922F2C"/>
    <w:rsid w:val="0092554A"/>
    <w:rsid w:val="00932DA8"/>
    <w:rsid w:val="009951D7"/>
    <w:rsid w:val="00A55C0C"/>
    <w:rsid w:val="00A91625"/>
    <w:rsid w:val="00AA77CE"/>
    <w:rsid w:val="00C466F8"/>
    <w:rsid w:val="00C657E0"/>
    <w:rsid w:val="00C92A97"/>
    <w:rsid w:val="00CB3726"/>
    <w:rsid w:val="00CD24C1"/>
    <w:rsid w:val="00CD4009"/>
    <w:rsid w:val="00CE22A7"/>
    <w:rsid w:val="00D147F7"/>
    <w:rsid w:val="00D31736"/>
    <w:rsid w:val="00D56AF1"/>
    <w:rsid w:val="00DB01CB"/>
    <w:rsid w:val="00DD5455"/>
    <w:rsid w:val="00DF0568"/>
    <w:rsid w:val="00DF701F"/>
    <w:rsid w:val="00E13CCC"/>
    <w:rsid w:val="00E37F6A"/>
    <w:rsid w:val="00E904BD"/>
    <w:rsid w:val="00E9417C"/>
    <w:rsid w:val="00E9659F"/>
    <w:rsid w:val="00ED23C0"/>
    <w:rsid w:val="00EF3D24"/>
    <w:rsid w:val="00F30C44"/>
    <w:rsid w:val="00FB2287"/>
    <w:rsid w:val="00FE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8E4B"/>
  <w15:chartTrackingRefBased/>
  <w15:docId w15:val="{85C89F8E-38A9-43F6-A2D6-C5256943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58"/>
    <w:pPr>
      <w:spacing w:after="160"/>
    </w:pPr>
    <w:rPr>
      <w:kern w:val="0"/>
      <w14:ligatures w14:val="none"/>
    </w:rPr>
  </w:style>
  <w:style w:type="paragraph" w:styleId="Heading1">
    <w:name w:val="heading 1"/>
    <w:basedOn w:val="Normal"/>
    <w:next w:val="Normal"/>
    <w:link w:val="Heading1Char"/>
    <w:uiPriority w:val="9"/>
    <w:qFormat/>
    <w:rsid w:val="00FE2F58"/>
    <w:pPr>
      <w:keepNext/>
      <w:keepLines/>
      <w:spacing w:before="240" w:after="0"/>
      <w:outlineLvl w:val="0"/>
    </w:pPr>
    <w:rPr>
      <w:rFonts w:ascii="Arial" w:eastAsiaTheme="majorEastAsia" w:hAnsi="Arial"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F58"/>
    <w:rPr>
      <w:rFonts w:ascii="Arial" w:eastAsiaTheme="majorEastAsia" w:hAnsi="Arial" w:cs="Arial"/>
      <w:color w:val="2F5496" w:themeColor="accent1" w:themeShade="BF"/>
      <w:kern w:val="0"/>
      <w:sz w:val="32"/>
      <w:szCs w:val="32"/>
      <w14:ligatures w14:val="none"/>
    </w:rPr>
  </w:style>
  <w:style w:type="paragraph" w:styleId="Footer">
    <w:name w:val="footer"/>
    <w:basedOn w:val="Normal"/>
    <w:link w:val="FooterChar"/>
    <w:uiPriority w:val="99"/>
    <w:unhideWhenUsed/>
    <w:rsid w:val="00FE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F58"/>
    <w:rPr>
      <w:kern w:val="0"/>
      <w14:ligatures w14:val="none"/>
    </w:rPr>
  </w:style>
  <w:style w:type="table" w:styleId="TableGrid">
    <w:name w:val="Table Grid"/>
    <w:basedOn w:val="TableNormal"/>
    <w:uiPriority w:val="39"/>
    <w:rsid w:val="00FE2F58"/>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FE2F58"/>
    <w:pPr>
      <w:spacing w:after="200" w:line="276" w:lineRule="auto"/>
      <w:ind w:left="720"/>
      <w:contextualSpacing/>
    </w:pPr>
  </w:style>
  <w:style w:type="paragraph" w:styleId="FootnoteText">
    <w:name w:val="footnote text"/>
    <w:basedOn w:val="Normal"/>
    <w:link w:val="FootnoteTextChar"/>
    <w:uiPriority w:val="99"/>
    <w:semiHidden/>
    <w:unhideWhenUsed/>
    <w:rsid w:val="00FE2F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F58"/>
    <w:rPr>
      <w:kern w:val="0"/>
      <w:sz w:val="20"/>
      <w:szCs w:val="20"/>
      <w14:ligatures w14:val="none"/>
    </w:rPr>
  </w:style>
  <w:style w:type="character" w:styleId="FootnoteReference">
    <w:name w:val="footnote reference"/>
    <w:basedOn w:val="DefaultParagraphFont"/>
    <w:uiPriority w:val="99"/>
    <w:semiHidden/>
    <w:unhideWhenUsed/>
    <w:rsid w:val="00FE2F58"/>
    <w:rPr>
      <w:vertAlign w:val="superscript"/>
    </w:rPr>
  </w:style>
  <w:style w:type="character" w:styleId="Hyperlink">
    <w:name w:val="Hyperlink"/>
    <w:basedOn w:val="DefaultParagraphFont"/>
    <w:uiPriority w:val="99"/>
    <w:unhideWhenUsed/>
    <w:rsid w:val="00FE2F58"/>
    <w:rPr>
      <w:color w:val="0563C1" w:themeColor="hyperlink"/>
      <w:u w:val="single"/>
    </w:rPr>
  </w:style>
  <w:style w:type="paragraph" w:customStyle="1" w:styleId="Default">
    <w:name w:val="Default"/>
    <w:rsid w:val="00E9417C"/>
    <w:pPr>
      <w:autoSpaceDE w:val="0"/>
      <w:autoSpaceDN w:val="0"/>
      <w:adjustRightInd w:val="0"/>
      <w:spacing w:line="240" w:lineRule="auto"/>
    </w:pPr>
    <w:rPr>
      <w:rFonts w:ascii="Arial" w:hAnsi="Arial" w:cs="Arial"/>
      <w:color w:val="000000"/>
      <w:kern w:val="0"/>
      <w:sz w:val="24"/>
      <w:szCs w:val="24"/>
    </w:rPr>
  </w:style>
  <w:style w:type="character" w:styleId="CommentReference">
    <w:name w:val="annotation reference"/>
    <w:semiHidden/>
    <w:rsid w:val="00217309"/>
    <w:rPr>
      <w:sz w:val="16"/>
      <w:szCs w:val="16"/>
    </w:rPr>
  </w:style>
  <w:style w:type="paragraph" w:styleId="CommentText">
    <w:name w:val="annotation text"/>
    <w:basedOn w:val="Normal"/>
    <w:link w:val="CommentTextChar"/>
    <w:semiHidden/>
    <w:rsid w:val="0021730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17309"/>
    <w:rPr>
      <w:rFonts w:ascii="Times New Roman" w:eastAsia="Times New Roman" w:hAnsi="Times New Roman" w:cs="Times New Roman"/>
      <w:kern w:val="0"/>
      <w:sz w:val="20"/>
      <w:szCs w:val="20"/>
      <w:lang w:eastAsia="en-GB"/>
      <w14:ligatures w14: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217309"/>
    <w:rPr>
      <w:kern w:val="0"/>
      <w14:ligatures w14:val="none"/>
    </w:rPr>
  </w:style>
  <w:style w:type="paragraph" w:styleId="BodyText">
    <w:name w:val="Body Text"/>
    <w:link w:val="BodyTextChar"/>
    <w:uiPriority w:val="1"/>
    <w:qFormat/>
    <w:rsid w:val="00031C24"/>
    <w:pPr>
      <w:spacing w:after="240" w:line="240" w:lineRule="auto"/>
    </w:pPr>
    <w:rPr>
      <w:rFonts w:ascii="Arial" w:hAnsi="Arial"/>
      <w:kern w:val="0"/>
      <w:sz w:val="24"/>
      <w14:ligatures w14:val="none"/>
    </w:rPr>
  </w:style>
  <w:style w:type="character" w:customStyle="1" w:styleId="BodyTextChar">
    <w:name w:val="Body Text Char"/>
    <w:basedOn w:val="DefaultParagraphFont"/>
    <w:link w:val="BodyText"/>
    <w:uiPriority w:val="1"/>
    <w:rsid w:val="00031C24"/>
    <w:rPr>
      <w:rFonts w:ascii="Arial" w:hAnsi="Arial"/>
      <w:kern w:val="0"/>
      <w:sz w:val="24"/>
      <w14:ligatures w14:val="none"/>
    </w:rPr>
  </w:style>
  <w:style w:type="paragraph" w:styleId="ListBullet2">
    <w:name w:val="List Bullet 2"/>
    <w:basedOn w:val="BodyText"/>
    <w:uiPriority w:val="2"/>
    <w:qFormat/>
    <w:rsid w:val="00031C24"/>
    <w:pPr>
      <w:numPr>
        <w:numId w:val="8"/>
      </w:numPr>
    </w:pPr>
  </w:style>
  <w:style w:type="paragraph" w:styleId="Revision">
    <w:name w:val="Revision"/>
    <w:hidden/>
    <w:uiPriority w:val="99"/>
    <w:semiHidden/>
    <w:rsid w:val="000B212E"/>
    <w:pPr>
      <w:spacing w:line="240" w:lineRule="auto"/>
    </w:pPr>
    <w:rPr>
      <w:kern w:val="0"/>
      <w14:ligatures w14:val="none"/>
    </w:rPr>
  </w:style>
  <w:style w:type="paragraph" w:customStyle="1" w:styleId="BulletNumbered1">
    <w:name w:val="Bullet Numbered 1"/>
    <w:basedOn w:val="Normal"/>
    <w:uiPriority w:val="4"/>
    <w:qFormat/>
    <w:rsid w:val="00DF0568"/>
    <w:pPr>
      <w:numPr>
        <w:numId w:val="12"/>
      </w:numPr>
      <w:spacing w:after="240" w:line="240" w:lineRule="auto"/>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10253</Characters>
  <Application>Microsoft Office Word</Application>
  <DocSecurity>0</DocSecurity>
  <Lines>200</Lines>
  <Paragraphs>46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Martin</dc:creator>
  <cp:keywords/>
  <dc:description/>
  <cp:lastModifiedBy>Moore, Martin</cp:lastModifiedBy>
  <cp:revision>2</cp:revision>
  <dcterms:created xsi:type="dcterms:W3CDTF">2024-04-23T09:46:00Z</dcterms:created>
  <dcterms:modified xsi:type="dcterms:W3CDTF">2024-04-23T09:46:00Z</dcterms:modified>
</cp:coreProperties>
</file>