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003E" w14:textId="3804CD1B" w:rsidR="002C26E2" w:rsidRDefault="00812CB4">
      <w:pPr>
        <w:spacing w:after="576" w:line="259" w:lineRule="auto"/>
        <w:ind w:left="0" w:firstLine="0"/>
      </w:pPr>
      <w:r>
        <w:t xml:space="preserve"> </w:t>
      </w:r>
    </w:p>
    <w:p w14:paraId="71940052" w14:textId="77777777" w:rsidR="002C26E2" w:rsidRDefault="00812CB4">
      <w:pPr>
        <w:spacing w:after="431" w:line="259" w:lineRule="auto"/>
        <w:ind w:left="0" w:right="1115" w:firstLine="0"/>
        <w:jc w:val="right"/>
      </w:pPr>
      <w:r>
        <w:rPr>
          <w:b/>
          <w:color w:val="004E9A"/>
          <w:sz w:val="56"/>
        </w:rPr>
        <w:t xml:space="preserve">ACCELERATED REVIEW: </w:t>
      </w:r>
    </w:p>
    <w:p w14:paraId="55DD33A9" w14:textId="77777777" w:rsidR="002C26E2" w:rsidRDefault="00812CB4">
      <w:pPr>
        <w:spacing w:after="270" w:line="259" w:lineRule="auto"/>
        <w:ind w:left="1553"/>
      </w:pPr>
      <w:r>
        <w:rPr>
          <w:b/>
          <w:color w:val="004E9A"/>
          <w:sz w:val="56"/>
        </w:rPr>
        <w:t xml:space="preserve">CRIMINAL LEGAL AID </w:t>
      </w:r>
    </w:p>
    <w:p w14:paraId="2213CD90" w14:textId="77777777" w:rsidR="002C26E2" w:rsidRDefault="00812CB4">
      <w:pPr>
        <w:spacing w:after="434" w:line="259" w:lineRule="auto"/>
        <w:ind w:left="2238"/>
      </w:pPr>
      <w:r>
        <w:rPr>
          <w:b/>
          <w:color w:val="004E9A"/>
          <w:sz w:val="56"/>
        </w:rPr>
        <w:t xml:space="preserve">REMUNERATION </w:t>
      </w:r>
    </w:p>
    <w:p w14:paraId="6CC1C7C1" w14:textId="77777777" w:rsidR="002C26E2" w:rsidRDefault="00812CB4">
      <w:pPr>
        <w:spacing w:after="431" w:line="259" w:lineRule="auto"/>
        <w:ind w:left="162" w:firstLine="0"/>
        <w:jc w:val="center"/>
      </w:pPr>
      <w:r>
        <w:rPr>
          <w:color w:val="004E9A"/>
          <w:sz w:val="56"/>
        </w:rPr>
        <w:t xml:space="preserve"> </w:t>
      </w:r>
    </w:p>
    <w:p w14:paraId="61192B07" w14:textId="77777777" w:rsidR="002C26E2" w:rsidRDefault="00812CB4">
      <w:pPr>
        <w:spacing w:after="282" w:line="259" w:lineRule="auto"/>
        <w:ind w:left="162" w:firstLine="0"/>
        <w:jc w:val="center"/>
      </w:pPr>
      <w:r>
        <w:rPr>
          <w:b/>
          <w:color w:val="004E9A"/>
          <w:sz w:val="56"/>
        </w:rPr>
        <w:t xml:space="preserve"> </w:t>
      </w:r>
    </w:p>
    <w:p w14:paraId="1D948562" w14:textId="77777777" w:rsidR="002C26E2" w:rsidRDefault="00812CB4">
      <w:pPr>
        <w:spacing w:after="352" w:line="259" w:lineRule="auto"/>
        <w:ind w:left="0" w:right="918" w:firstLine="0"/>
        <w:jc w:val="right"/>
      </w:pPr>
      <w:r>
        <w:rPr>
          <w:b/>
          <w:color w:val="004E9A"/>
          <w:sz w:val="40"/>
          <w:u w:val="single" w:color="004E9A"/>
        </w:rPr>
        <w:t>FINDINGS AND RECOMMENDATIONS</w:t>
      </w:r>
      <w:r>
        <w:rPr>
          <w:b/>
          <w:color w:val="004E9A"/>
          <w:sz w:val="40"/>
        </w:rPr>
        <w:t xml:space="preserve"> </w:t>
      </w:r>
    </w:p>
    <w:p w14:paraId="65CDD245" w14:textId="77777777" w:rsidR="002C26E2" w:rsidRDefault="00812CB4">
      <w:pPr>
        <w:spacing w:after="352" w:line="259" w:lineRule="auto"/>
        <w:ind w:left="118" w:firstLine="0"/>
        <w:jc w:val="center"/>
      </w:pPr>
      <w:r>
        <w:rPr>
          <w:color w:val="004E9A"/>
          <w:sz w:val="40"/>
        </w:rPr>
        <w:t xml:space="preserve"> </w:t>
      </w:r>
    </w:p>
    <w:p w14:paraId="2408A0D2" w14:textId="77777777" w:rsidR="002C26E2" w:rsidRDefault="00812CB4">
      <w:pPr>
        <w:spacing w:after="352" w:line="259" w:lineRule="auto"/>
        <w:ind w:left="2024" w:firstLine="0"/>
      </w:pPr>
      <w:r>
        <w:rPr>
          <w:color w:val="004E9A"/>
          <w:sz w:val="40"/>
        </w:rPr>
        <w:t xml:space="preserve">HIS HONOUR T BURGESS </w:t>
      </w:r>
    </w:p>
    <w:p w14:paraId="7A0E6683" w14:textId="77777777" w:rsidR="002C26E2" w:rsidRDefault="00812CB4">
      <w:pPr>
        <w:spacing w:after="352" w:line="259" w:lineRule="auto"/>
        <w:ind w:left="20"/>
        <w:jc w:val="center"/>
      </w:pPr>
      <w:r>
        <w:rPr>
          <w:color w:val="004E9A"/>
          <w:sz w:val="40"/>
        </w:rPr>
        <w:t xml:space="preserve">MR J MISKELLY </w:t>
      </w:r>
    </w:p>
    <w:p w14:paraId="157FA1B5" w14:textId="77777777" w:rsidR="002C26E2" w:rsidRDefault="00812CB4">
      <w:pPr>
        <w:spacing w:after="355" w:line="259" w:lineRule="auto"/>
        <w:ind w:left="118" w:firstLine="0"/>
        <w:jc w:val="center"/>
      </w:pPr>
      <w:r>
        <w:rPr>
          <w:color w:val="004E9A"/>
          <w:sz w:val="40"/>
        </w:rPr>
        <w:t xml:space="preserve"> </w:t>
      </w:r>
    </w:p>
    <w:p w14:paraId="37AEFCC1" w14:textId="77777777" w:rsidR="00554D9A" w:rsidRDefault="00812CB4">
      <w:pPr>
        <w:spacing w:after="222" w:line="259" w:lineRule="auto"/>
        <w:ind w:left="20" w:right="2"/>
        <w:jc w:val="center"/>
        <w:rPr>
          <w:color w:val="004E9A"/>
          <w:sz w:val="40"/>
        </w:rPr>
        <w:sectPr w:rsidR="00554D9A">
          <w:headerReference w:type="even" r:id="rId7"/>
          <w:headerReference w:type="default" r:id="rId8"/>
          <w:footerReference w:type="even" r:id="rId9"/>
          <w:footerReference w:type="default" r:id="rId10"/>
          <w:headerReference w:type="first" r:id="rId11"/>
          <w:footerReference w:type="first" r:id="rId12"/>
          <w:pgSz w:w="11906" w:h="16838"/>
          <w:pgMar w:top="1257" w:right="1447" w:bottom="1376" w:left="1440" w:header="720" w:footer="720" w:gutter="0"/>
          <w:cols w:space="720"/>
          <w:titlePg/>
        </w:sectPr>
      </w:pPr>
      <w:r>
        <w:rPr>
          <w:color w:val="004E9A"/>
          <w:sz w:val="40"/>
        </w:rPr>
        <w:t>27 APRIL 2026</w:t>
      </w:r>
    </w:p>
    <w:p w14:paraId="1FA08EB0" w14:textId="5E32A6F0" w:rsidR="002C26E2" w:rsidRDefault="00812CB4" w:rsidP="00444ECE">
      <w:pPr>
        <w:spacing w:after="222" w:line="259" w:lineRule="auto"/>
        <w:ind w:left="20" w:right="2"/>
        <w:jc w:val="center"/>
      </w:pPr>
      <w:r>
        <w:rPr>
          <w:color w:val="004E9A"/>
          <w:sz w:val="40"/>
        </w:rPr>
        <w:lastRenderedPageBreak/>
        <w:t xml:space="preserve"> </w:t>
      </w:r>
    </w:p>
    <w:sdt>
      <w:sdtPr>
        <w:rPr>
          <w:b w:val="0"/>
          <w:color w:val="000000"/>
          <w:sz w:val="24"/>
        </w:rPr>
        <w:id w:val="1487819248"/>
        <w:docPartObj>
          <w:docPartGallery w:val="Table of Contents"/>
        </w:docPartObj>
      </w:sdtPr>
      <w:sdtEndPr/>
      <w:sdtContent>
        <w:p w14:paraId="6D8EC655" w14:textId="58DD2A69" w:rsidR="002C26E2" w:rsidRDefault="00812CB4">
          <w:pPr>
            <w:pStyle w:val="TOC1"/>
            <w:tabs>
              <w:tab w:val="right" w:pos="9019"/>
            </w:tabs>
            <w:rPr>
              <w:noProof/>
            </w:rPr>
          </w:pPr>
          <w:r>
            <w:fldChar w:fldCharType="begin"/>
          </w:r>
          <w:r>
            <w:instrText xml:space="preserve"> TOC \o "1-3" \h \z \u </w:instrText>
          </w:r>
          <w:r>
            <w:fldChar w:fldCharType="separate"/>
          </w:r>
          <w:hyperlink w:anchor="_Toc107538">
            <w:r>
              <w:rPr>
                <w:noProof/>
              </w:rPr>
              <w:t>1</w:t>
            </w:r>
            <w:r>
              <w:rPr>
                <w:b w:val="0"/>
                <w:noProof/>
                <w:color w:val="000000"/>
                <w:sz w:val="24"/>
              </w:rPr>
              <w:t xml:space="preserve">  </w:t>
            </w:r>
            <w:r>
              <w:rPr>
                <w:noProof/>
              </w:rPr>
              <w:t>EXECUTIVE SUMMARY</w:t>
            </w:r>
            <w:r>
              <w:rPr>
                <w:noProof/>
              </w:rPr>
              <w:tab/>
            </w:r>
            <w:r>
              <w:rPr>
                <w:noProof/>
              </w:rPr>
              <w:fldChar w:fldCharType="begin"/>
            </w:r>
            <w:r>
              <w:rPr>
                <w:noProof/>
              </w:rPr>
              <w:instrText>PAGEREF _Toc107538 \h</w:instrText>
            </w:r>
            <w:r>
              <w:rPr>
                <w:noProof/>
              </w:rPr>
            </w:r>
            <w:r>
              <w:rPr>
                <w:noProof/>
              </w:rPr>
              <w:fldChar w:fldCharType="separate"/>
            </w:r>
            <w:r w:rsidR="00705D26">
              <w:rPr>
                <w:noProof/>
              </w:rPr>
              <w:t>6</w:t>
            </w:r>
            <w:r>
              <w:rPr>
                <w:noProof/>
              </w:rPr>
              <w:fldChar w:fldCharType="end"/>
            </w:r>
          </w:hyperlink>
        </w:p>
        <w:p w14:paraId="195BA743" w14:textId="1A544271" w:rsidR="002C26E2" w:rsidRDefault="00812CB4">
          <w:pPr>
            <w:pStyle w:val="TOC2"/>
            <w:tabs>
              <w:tab w:val="right" w:pos="9019"/>
            </w:tabs>
            <w:rPr>
              <w:noProof/>
            </w:rPr>
          </w:pPr>
          <w:hyperlink w:anchor="_Toc107539">
            <w:r>
              <w:rPr>
                <w:noProof/>
              </w:rPr>
              <w:t>1.1</w:t>
            </w:r>
            <w:r>
              <w:rPr>
                <w:noProof/>
                <w:sz w:val="24"/>
              </w:rPr>
              <w:t xml:space="preserve">  </w:t>
            </w:r>
            <w:r>
              <w:rPr>
                <w:noProof/>
              </w:rPr>
              <w:t>Context and purpose</w:t>
            </w:r>
            <w:r>
              <w:rPr>
                <w:noProof/>
              </w:rPr>
              <w:tab/>
            </w:r>
            <w:r>
              <w:rPr>
                <w:noProof/>
              </w:rPr>
              <w:fldChar w:fldCharType="begin"/>
            </w:r>
            <w:r>
              <w:rPr>
                <w:noProof/>
              </w:rPr>
              <w:instrText>PAGEREF _Toc107539 \h</w:instrText>
            </w:r>
            <w:r>
              <w:rPr>
                <w:noProof/>
              </w:rPr>
            </w:r>
            <w:r>
              <w:rPr>
                <w:noProof/>
              </w:rPr>
              <w:fldChar w:fldCharType="separate"/>
            </w:r>
            <w:r w:rsidR="00705D26">
              <w:rPr>
                <w:noProof/>
              </w:rPr>
              <w:t>6</w:t>
            </w:r>
            <w:r>
              <w:rPr>
                <w:noProof/>
              </w:rPr>
              <w:fldChar w:fldCharType="end"/>
            </w:r>
          </w:hyperlink>
        </w:p>
        <w:p w14:paraId="6C2C7CE5" w14:textId="79993B4C" w:rsidR="002C26E2" w:rsidRDefault="00812CB4">
          <w:pPr>
            <w:pStyle w:val="TOC2"/>
            <w:tabs>
              <w:tab w:val="right" w:pos="9019"/>
            </w:tabs>
            <w:rPr>
              <w:noProof/>
            </w:rPr>
          </w:pPr>
          <w:hyperlink w:anchor="_Toc107540">
            <w:r>
              <w:rPr>
                <w:noProof/>
              </w:rPr>
              <w:t>1.2</w:t>
            </w:r>
            <w:r>
              <w:rPr>
                <w:noProof/>
                <w:sz w:val="24"/>
              </w:rPr>
              <w:t xml:space="preserve">  </w:t>
            </w:r>
            <w:r>
              <w:rPr>
                <w:noProof/>
              </w:rPr>
              <w:t>Agreed scope (and exclusions)</w:t>
            </w:r>
            <w:r>
              <w:rPr>
                <w:noProof/>
              </w:rPr>
              <w:tab/>
            </w:r>
            <w:r>
              <w:rPr>
                <w:noProof/>
              </w:rPr>
              <w:fldChar w:fldCharType="begin"/>
            </w:r>
            <w:r>
              <w:rPr>
                <w:noProof/>
              </w:rPr>
              <w:instrText>PAGEREF _Toc107540 \h</w:instrText>
            </w:r>
            <w:r>
              <w:rPr>
                <w:noProof/>
              </w:rPr>
            </w:r>
            <w:r>
              <w:rPr>
                <w:noProof/>
              </w:rPr>
              <w:fldChar w:fldCharType="separate"/>
            </w:r>
            <w:r w:rsidR="00705D26">
              <w:rPr>
                <w:noProof/>
              </w:rPr>
              <w:t>6</w:t>
            </w:r>
            <w:r>
              <w:rPr>
                <w:noProof/>
              </w:rPr>
              <w:fldChar w:fldCharType="end"/>
            </w:r>
          </w:hyperlink>
        </w:p>
        <w:p w14:paraId="01C048F1" w14:textId="31617E42" w:rsidR="002C26E2" w:rsidRDefault="00812CB4">
          <w:pPr>
            <w:pStyle w:val="TOC2"/>
            <w:tabs>
              <w:tab w:val="right" w:pos="9019"/>
            </w:tabs>
            <w:rPr>
              <w:noProof/>
            </w:rPr>
          </w:pPr>
          <w:hyperlink w:anchor="_Toc107541">
            <w:r>
              <w:rPr>
                <w:noProof/>
              </w:rPr>
              <w:t>1.3</w:t>
            </w:r>
            <w:r>
              <w:rPr>
                <w:noProof/>
                <w:sz w:val="24"/>
              </w:rPr>
              <w:t xml:space="preserve">  </w:t>
            </w:r>
            <w:r>
              <w:rPr>
                <w:noProof/>
              </w:rPr>
              <w:t>Approach and evidential standards</w:t>
            </w:r>
            <w:r>
              <w:rPr>
                <w:noProof/>
              </w:rPr>
              <w:tab/>
            </w:r>
            <w:r>
              <w:rPr>
                <w:noProof/>
              </w:rPr>
              <w:fldChar w:fldCharType="begin"/>
            </w:r>
            <w:r>
              <w:rPr>
                <w:noProof/>
              </w:rPr>
              <w:instrText>PAGEREF _Toc107541 \h</w:instrText>
            </w:r>
            <w:r>
              <w:rPr>
                <w:noProof/>
              </w:rPr>
            </w:r>
            <w:r>
              <w:rPr>
                <w:noProof/>
              </w:rPr>
              <w:fldChar w:fldCharType="separate"/>
            </w:r>
            <w:r w:rsidR="00705D26">
              <w:rPr>
                <w:noProof/>
              </w:rPr>
              <w:t>7</w:t>
            </w:r>
            <w:r>
              <w:rPr>
                <w:noProof/>
              </w:rPr>
              <w:fldChar w:fldCharType="end"/>
            </w:r>
          </w:hyperlink>
        </w:p>
        <w:p w14:paraId="48BB00D2" w14:textId="120C31C0" w:rsidR="002C26E2" w:rsidRDefault="00812CB4">
          <w:pPr>
            <w:pStyle w:val="TOC2"/>
            <w:tabs>
              <w:tab w:val="right" w:pos="9019"/>
            </w:tabs>
            <w:rPr>
              <w:noProof/>
            </w:rPr>
          </w:pPr>
          <w:hyperlink w:anchor="_Toc107542">
            <w:r>
              <w:rPr>
                <w:noProof/>
              </w:rPr>
              <w:t>1.4</w:t>
            </w:r>
            <w:r>
              <w:rPr>
                <w:noProof/>
                <w:sz w:val="24"/>
              </w:rPr>
              <w:t xml:space="preserve">  </w:t>
            </w:r>
            <w:r>
              <w:rPr>
                <w:noProof/>
              </w:rPr>
              <w:t>Headline conclusions</w:t>
            </w:r>
            <w:r>
              <w:rPr>
                <w:noProof/>
              </w:rPr>
              <w:tab/>
            </w:r>
            <w:r>
              <w:rPr>
                <w:noProof/>
              </w:rPr>
              <w:fldChar w:fldCharType="begin"/>
            </w:r>
            <w:r>
              <w:rPr>
                <w:noProof/>
              </w:rPr>
              <w:instrText>PAGEREF _Toc107542 \h</w:instrText>
            </w:r>
            <w:r>
              <w:rPr>
                <w:noProof/>
              </w:rPr>
            </w:r>
            <w:r>
              <w:rPr>
                <w:noProof/>
              </w:rPr>
              <w:fldChar w:fldCharType="separate"/>
            </w:r>
            <w:r w:rsidR="00705D26">
              <w:rPr>
                <w:noProof/>
              </w:rPr>
              <w:t>8</w:t>
            </w:r>
            <w:r>
              <w:rPr>
                <w:noProof/>
              </w:rPr>
              <w:fldChar w:fldCharType="end"/>
            </w:r>
          </w:hyperlink>
        </w:p>
        <w:p w14:paraId="491B45C4" w14:textId="5D1B0263" w:rsidR="002C26E2" w:rsidRDefault="00812CB4">
          <w:pPr>
            <w:pStyle w:val="TOC2"/>
            <w:tabs>
              <w:tab w:val="right" w:pos="9019"/>
            </w:tabs>
            <w:rPr>
              <w:noProof/>
            </w:rPr>
          </w:pPr>
          <w:hyperlink w:anchor="_Toc107543">
            <w:r>
              <w:rPr>
                <w:noProof/>
              </w:rPr>
              <w:t>1.5</w:t>
            </w:r>
            <w:r>
              <w:rPr>
                <w:noProof/>
                <w:sz w:val="24"/>
              </w:rPr>
              <w:t xml:space="preserve">  </w:t>
            </w:r>
            <w:r>
              <w:rPr>
                <w:noProof/>
              </w:rPr>
              <w:t>Implications for delivery, cost and value for money</w:t>
            </w:r>
            <w:r>
              <w:rPr>
                <w:noProof/>
              </w:rPr>
              <w:tab/>
            </w:r>
            <w:r>
              <w:rPr>
                <w:noProof/>
              </w:rPr>
              <w:fldChar w:fldCharType="begin"/>
            </w:r>
            <w:r>
              <w:rPr>
                <w:noProof/>
              </w:rPr>
              <w:instrText>PAGEREF _Toc107543 \h</w:instrText>
            </w:r>
            <w:r>
              <w:rPr>
                <w:noProof/>
              </w:rPr>
            </w:r>
            <w:r>
              <w:rPr>
                <w:noProof/>
              </w:rPr>
              <w:fldChar w:fldCharType="separate"/>
            </w:r>
            <w:r w:rsidR="00705D26">
              <w:rPr>
                <w:noProof/>
              </w:rPr>
              <w:t>9</w:t>
            </w:r>
            <w:r>
              <w:rPr>
                <w:noProof/>
              </w:rPr>
              <w:fldChar w:fldCharType="end"/>
            </w:r>
          </w:hyperlink>
        </w:p>
        <w:p w14:paraId="36505A01" w14:textId="1944911D" w:rsidR="002C26E2" w:rsidRDefault="00812CB4">
          <w:pPr>
            <w:pStyle w:val="TOC2"/>
            <w:tabs>
              <w:tab w:val="right" w:pos="9019"/>
            </w:tabs>
            <w:rPr>
              <w:noProof/>
            </w:rPr>
          </w:pPr>
          <w:hyperlink w:anchor="_Toc107544">
            <w:r>
              <w:rPr>
                <w:noProof/>
              </w:rPr>
              <w:t>1.6</w:t>
            </w:r>
            <w:r>
              <w:rPr>
                <w:noProof/>
                <w:sz w:val="24"/>
              </w:rPr>
              <w:t xml:space="preserve">  </w:t>
            </w:r>
            <w:r>
              <w:rPr>
                <w:noProof/>
              </w:rPr>
              <w:t>Implementation considerations and next steps</w:t>
            </w:r>
            <w:r>
              <w:rPr>
                <w:noProof/>
              </w:rPr>
              <w:tab/>
            </w:r>
            <w:r>
              <w:rPr>
                <w:noProof/>
              </w:rPr>
              <w:fldChar w:fldCharType="begin"/>
            </w:r>
            <w:r>
              <w:rPr>
                <w:noProof/>
              </w:rPr>
              <w:instrText>PAGEREF _Toc107544 \h</w:instrText>
            </w:r>
            <w:r>
              <w:rPr>
                <w:noProof/>
              </w:rPr>
            </w:r>
            <w:r>
              <w:rPr>
                <w:noProof/>
              </w:rPr>
              <w:fldChar w:fldCharType="separate"/>
            </w:r>
            <w:r w:rsidR="00705D26">
              <w:rPr>
                <w:noProof/>
              </w:rPr>
              <w:t>10</w:t>
            </w:r>
            <w:r>
              <w:rPr>
                <w:noProof/>
              </w:rPr>
              <w:fldChar w:fldCharType="end"/>
            </w:r>
          </w:hyperlink>
        </w:p>
        <w:p w14:paraId="43999E1F" w14:textId="1ED7E385" w:rsidR="002C26E2" w:rsidRDefault="00812CB4">
          <w:pPr>
            <w:pStyle w:val="TOC1"/>
            <w:tabs>
              <w:tab w:val="right" w:pos="9019"/>
            </w:tabs>
            <w:rPr>
              <w:noProof/>
            </w:rPr>
          </w:pPr>
          <w:hyperlink w:anchor="_Toc107545">
            <w:r>
              <w:rPr>
                <w:noProof/>
              </w:rPr>
              <w:t>2</w:t>
            </w:r>
            <w:r>
              <w:rPr>
                <w:b w:val="0"/>
                <w:noProof/>
                <w:color w:val="000000"/>
                <w:sz w:val="24"/>
              </w:rPr>
              <w:t xml:space="preserve">  </w:t>
            </w:r>
            <w:r>
              <w:rPr>
                <w:noProof/>
              </w:rPr>
              <w:t>INTRODUCTION</w:t>
            </w:r>
            <w:r>
              <w:rPr>
                <w:noProof/>
              </w:rPr>
              <w:tab/>
            </w:r>
            <w:r>
              <w:rPr>
                <w:noProof/>
              </w:rPr>
              <w:fldChar w:fldCharType="begin"/>
            </w:r>
            <w:r>
              <w:rPr>
                <w:noProof/>
              </w:rPr>
              <w:instrText>PAGEREF _Toc107545 \h</w:instrText>
            </w:r>
            <w:r>
              <w:rPr>
                <w:noProof/>
              </w:rPr>
            </w:r>
            <w:r>
              <w:rPr>
                <w:noProof/>
              </w:rPr>
              <w:fldChar w:fldCharType="separate"/>
            </w:r>
            <w:r w:rsidR="00705D26">
              <w:rPr>
                <w:noProof/>
              </w:rPr>
              <w:t>11</w:t>
            </w:r>
            <w:r>
              <w:rPr>
                <w:noProof/>
              </w:rPr>
              <w:fldChar w:fldCharType="end"/>
            </w:r>
          </w:hyperlink>
        </w:p>
        <w:p w14:paraId="7753E938" w14:textId="47FAD347" w:rsidR="002C26E2" w:rsidRDefault="00812CB4">
          <w:pPr>
            <w:pStyle w:val="TOC2"/>
            <w:tabs>
              <w:tab w:val="right" w:pos="9019"/>
            </w:tabs>
            <w:rPr>
              <w:noProof/>
            </w:rPr>
          </w:pPr>
          <w:hyperlink w:anchor="_Toc107546">
            <w:r>
              <w:rPr>
                <w:noProof/>
              </w:rPr>
              <w:t>2.1</w:t>
            </w:r>
            <w:r>
              <w:rPr>
                <w:noProof/>
                <w:sz w:val="24"/>
              </w:rPr>
              <w:t xml:space="preserve">  </w:t>
            </w:r>
            <w:r>
              <w:rPr>
                <w:noProof/>
              </w:rPr>
              <w:t>Origin of the Accelerated Review</w:t>
            </w:r>
            <w:r>
              <w:rPr>
                <w:noProof/>
              </w:rPr>
              <w:tab/>
            </w:r>
            <w:r>
              <w:rPr>
                <w:noProof/>
              </w:rPr>
              <w:fldChar w:fldCharType="begin"/>
            </w:r>
            <w:r>
              <w:rPr>
                <w:noProof/>
              </w:rPr>
              <w:instrText>PAGEREF _Toc107546 \h</w:instrText>
            </w:r>
            <w:r>
              <w:rPr>
                <w:noProof/>
              </w:rPr>
            </w:r>
            <w:r>
              <w:rPr>
                <w:noProof/>
              </w:rPr>
              <w:fldChar w:fldCharType="separate"/>
            </w:r>
            <w:r w:rsidR="00705D26">
              <w:rPr>
                <w:noProof/>
              </w:rPr>
              <w:t>11</w:t>
            </w:r>
            <w:r>
              <w:rPr>
                <w:noProof/>
              </w:rPr>
              <w:fldChar w:fldCharType="end"/>
            </w:r>
          </w:hyperlink>
        </w:p>
        <w:p w14:paraId="69270101" w14:textId="0BD00519" w:rsidR="002C26E2" w:rsidRDefault="00812CB4">
          <w:pPr>
            <w:pStyle w:val="TOC2"/>
            <w:tabs>
              <w:tab w:val="right" w:pos="9019"/>
            </w:tabs>
            <w:rPr>
              <w:noProof/>
            </w:rPr>
          </w:pPr>
          <w:hyperlink w:anchor="_Toc107547">
            <w:r>
              <w:rPr>
                <w:noProof/>
              </w:rPr>
              <w:t>2.2</w:t>
            </w:r>
            <w:r>
              <w:rPr>
                <w:noProof/>
                <w:sz w:val="24"/>
              </w:rPr>
              <w:t xml:space="preserve">  </w:t>
            </w:r>
            <w:r>
              <w:rPr>
                <w:noProof/>
              </w:rPr>
              <w:t>The Fundamental Review (August 2024)</w:t>
            </w:r>
            <w:r>
              <w:rPr>
                <w:noProof/>
              </w:rPr>
              <w:tab/>
            </w:r>
            <w:r>
              <w:rPr>
                <w:noProof/>
              </w:rPr>
              <w:fldChar w:fldCharType="begin"/>
            </w:r>
            <w:r>
              <w:rPr>
                <w:noProof/>
              </w:rPr>
              <w:instrText>PAGEREF _Toc107547 \h</w:instrText>
            </w:r>
            <w:r>
              <w:rPr>
                <w:noProof/>
              </w:rPr>
            </w:r>
            <w:r>
              <w:rPr>
                <w:noProof/>
              </w:rPr>
              <w:fldChar w:fldCharType="separate"/>
            </w:r>
            <w:r w:rsidR="00705D26">
              <w:rPr>
                <w:noProof/>
              </w:rPr>
              <w:t>11</w:t>
            </w:r>
            <w:r>
              <w:rPr>
                <w:noProof/>
              </w:rPr>
              <w:fldChar w:fldCharType="end"/>
            </w:r>
          </w:hyperlink>
        </w:p>
        <w:p w14:paraId="185E605A" w14:textId="7856FC3C" w:rsidR="002C26E2" w:rsidRDefault="00812CB4">
          <w:pPr>
            <w:pStyle w:val="TOC2"/>
            <w:tabs>
              <w:tab w:val="right" w:pos="9019"/>
            </w:tabs>
            <w:rPr>
              <w:noProof/>
            </w:rPr>
          </w:pPr>
          <w:hyperlink w:anchor="_Toc107548">
            <w:r>
              <w:rPr>
                <w:noProof/>
              </w:rPr>
              <w:t>2.3</w:t>
            </w:r>
            <w:r>
              <w:rPr>
                <w:noProof/>
                <w:sz w:val="24"/>
              </w:rPr>
              <w:t xml:space="preserve">  </w:t>
            </w:r>
            <w:r>
              <w:rPr>
                <w:noProof/>
              </w:rPr>
              <w:t>Existing changes and the Roadmap</w:t>
            </w:r>
            <w:r>
              <w:rPr>
                <w:noProof/>
              </w:rPr>
              <w:tab/>
            </w:r>
            <w:r>
              <w:rPr>
                <w:noProof/>
              </w:rPr>
              <w:fldChar w:fldCharType="begin"/>
            </w:r>
            <w:r>
              <w:rPr>
                <w:noProof/>
              </w:rPr>
              <w:instrText>PAGEREF _Toc107548 \h</w:instrText>
            </w:r>
            <w:r>
              <w:rPr>
                <w:noProof/>
              </w:rPr>
            </w:r>
            <w:r>
              <w:rPr>
                <w:noProof/>
              </w:rPr>
              <w:fldChar w:fldCharType="separate"/>
            </w:r>
            <w:r w:rsidR="00705D26">
              <w:rPr>
                <w:noProof/>
              </w:rPr>
              <w:t>12</w:t>
            </w:r>
            <w:r>
              <w:rPr>
                <w:noProof/>
              </w:rPr>
              <w:fldChar w:fldCharType="end"/>
            </w:r>
          </w:hyperlink>
        </w:p>
        <w:p w14:paraId="77A32021" w14:textId="6E832ED4" w:rsidR="002C26E2" w:rsidRDefault="00812CB4">
          <w:pPr>
            <w:pStyle w:val="TOC2"/>
            <w:tabs>
              <w:tab w:val="right" w:pos="9019"/>
            </w:tabs>
            <w:rPr>
              <w:noProof/>
            </w:rPr>
          </w:pPr>
          <w:hyperlink w:anchor="_Toc107549">
            <w:r>
              <w:rPr>
                <w:noProof/>
              </w:rPr>
              <w:t>2.4</w:t>
            </w:r>
            <w:r>
              <w:rPr>
                <w:noProof/>
                <w:sz w:val="24"/>
              </w:rPr>
              <w:t xml:space="preserve">  </w:t>
            </w:r>
            <w:r>
              <w:rPr>
                <w:noProof/>
              </w:rPr>
              <w:t>Decision to fast-track specific elements</w:t>
            </w:r>
            <w:r>
              <w:rPr>
                <w:noProof/>
              </w:rPr>
              <w:tab/>
            </w:r>
            <w:r>
              <w:rPr>
                <w:noProof/>
              </w:rPr>
              <w:fldChar w:fldCharType="begin"/>
            </w:r>
            <w:r>
              <w:rPr>
                <w:noProof/>
              </w:rPr>
              <w:instrText>PAGEREF _Toc107549 \h</w:instrText>
            </w:r>
            <w:r>
              <w:rPr>
                <w:noProof/>
              </w:rPr>
            </w:r>
            <w:r>
              <w:rPr>
                <w:noProof/>
              </w:rPr>
              <w:fldChar w:fldCharType="separate"/>
            </w:r>
            <w:r w:rsidR="00705D26">
              <w:rPr>
                <w:noProof/>
              </w:rPr>
              <w:t>12</w:t>
            </w:r>
            <w:r>
              <w:rPr>
                <w:noProof/>
              </w:rPr>
              <w:fldChar w:fldCharType="end"/>
            </w:r>
          </w:hyperlink>
        </w:p>
        <w:p w14:paraId="48147E1C" w14:textId="100D3F33" w:rsidR="002C26E2" w:rsidRDefault="00812CB4">
          <w:pPr>
            <w:pStyle w:val="TOC2"/>
            <w:tabs>
              <w:tab w:val="right" w:pos="9019"/>
            </w:tabs>
            <w:rPr>
              <w:noProof/>
            </w:rPr>
          </w:pPr>
          <w:hyperlink w:anchor="_Toc107550">
            <w:r>
              <w:rPr>
                <w:noProof/>
              </w:rPr>
              <w:t>2.5</w:t>
            </w:r>
            <w:r>
              <w:rPr>
                <w:noProof/>
                <w:sz w:val="24"/>
              </w:rPr>
              <w:t xml:space="preserve">  </w:t>
            </w:r>
            <w:r>
              <w:rPr>
                <w:noProof/>
              </w:rPr>
              <w:t>Governance and timeline</w:t>
            </w:r>
            <w:r>
              <w:rPr>
                <w:noProof/>
              </w:rPr>
              <w:tab/>
            </w:r>
            <w:r>
              <w:rPr>
                <w:noProof/>
              </w:rPr>
              <w:fldChar w:fldCharType="begin"/>
            </w:r>
            <w:r>
              <w:rPr>
                <w:noProof/>
              </w:rPr>
              <w:instrText>PAGEREF _Toc107550 \h</w:instrText>
            </w:r>
            <w:r>
              <w:rPr>
                <w:noProof/>
              </w:rPr>
            </w:r>
            <w:r>
              <w:rPr>
                <w:noProof/>
              </w:rPr>
              <w:fldChar w:fldCharType="separate"/>
            </w:r>
            <w:r w:rsidR="00705D26">
              <w:rPr>
                <w:noProof/>
              </w:rPr>
              <w:t>13</w:t>
            </w:r>
            <w:r>
              <w:rPr>
                <w:noProof/>
              </w:rPr>
              <w:fldChar w:fldCharType="end"/>
            </w:r>
          </w:hyperlink>
        </w:p>
        <w:p w14:paraId="5536D635" w14:textId="5A4D7CD1" w:rsidR="002C26E2" w:rsidRDefault="00812CB4">
          <w:pPr>
            <w:pStyle w:val="TOC2"/>
            <w:tabs>
              <w:tab w:val="right" w:pos="9019"/>
            </w:tabs>
            <w:rPr>
              <w:noProof/>
            </w:rPr>
          </w:pPr>
          <w:hyperlink w:anchor="_Toc107551">
            <w:r>
              <w:rPr>
                <w:noProof/>
              </w:rPr>
              <w:t>2.6</w:t>
            </w:r>
            <w:r>
              <w:rPr>
                <w:noProof/>
                <w:sz w:val="24"/>
              </w:rPr>
              <w:t xml:space="preserve">  </w:t>
            </w:r>
            <w:r>
              <w:rPr>
                <w:noProof/>
              </w:rPr>
              <w:t>Evidential requirements</w:t>
            </w:r>
            <w:r>
              <w:rPr>
                <w:noProof/>
              </w:rPr>
              <w:tab/>
            </w:r>
            <w:r>
              <w:rPr>
                <w:noProof/>
              </w:rPr>
              <w:fldChar w:fldCharType="begin"/>
            </w:r>
            <w:r>
              <w:rPr>
                <w:noProof/>
              </w:rPr>
              <w:instrText>PAGEREF _Toc107551 \h</w:instrText>
            </w:r>
            <w:r>
              <w:rPr>
                <w:noProof/>
              </w:rPr>
            </w:r>
            <w:r>
              <w:rPr>
                <w:noProof/>
              </w:rPr>
              <w:fldChar w:fldCharType="separate"/>
            </w:r>
            <w:r w:rsidR="00705D26">
              <w:rPr>
                <w:noProof/>
              </w:rPr>
              <w:t>13</w:t>
            </w:r>
            <w:r>
              <w:rPr>
                <w:noProof/>
              </w:rPr>
              <w:fldChar w:fldCharType="end"/>
            </w:r>
          </w:hyperlink>
        </w:p>
        <w:p w14:paraId="33C48785" w14:textId="2ADCEAA4" w:rsidR="002C26E2" w:rsidRDefault="00812CB4">
          <w:pPr>
            <w:pStyle w:val="TOC2"/>
            <w:tabs>
              <w:tab w:val="right" w:pos="9019"/>
            </w:tabs>
            <w:rPr>
              <w:noProof/>
            </w:rPr>
          </w:pPr>
          <w:hyperlink w:anchor="_Toc107552">
            <w:r>
              <w:rPr>
                <w:noProof/>
              </w:rPr>
              <w:t>2.7</w:t>
            </w:r>
            <w:r>
              <w:rPr>
                <w:noProof/>
                <w:sz w:val="24"/>
              </w:rPr>
              <w:t xml:space="preserve">  </w:t>
            </w:r>
            <w:r>
              <w:rPr>
                <w:noProof/>
              </w:rPr>
              <w:t>Basis of the Review</w:t>
            </w:r>
            <w:r>
              <w:rPr>
                <w:noProof/>
              </w:rPr>
              <w:tab/>
            </w:r>
            <w:r>
              <w:rPr>
                <w:noProof/>
              </w:rPr>
              <w:fldChar w:fldCharType="begin"/>
            </w:r>
            <w:r>
              <w:rPr>
                <w:noProof/>
              </w:rPr>
              <w:instrText>PAGEREF _Toc107552 \h</w:instrText>
            </w:r>
            <w:r>
              <w:rPr>
                <w:noProof/>
              </w:rPr>
            </w:r>
            <w:r>
              <w:rPr>
                <w:noProof/>
              </w:rPr>
              <w:fldChar w:fldCharType="separate"/>
            </w:r>
            <w:r w:rsidR="00705D26">
              <w:rPr>
                <w:noProof/>
              </w:rPr>
              <w:t>13</w:t>
            </w:r>
            <w:r>
              <w:rPr>
                <w:noProof/>
              </w:rPr>
              <w:fldChar w:fldCharType="end"/>
            </w:r>
          </w:hyperlink>
        </w:p>
        <w:p w14:paraId="158FD21C" w14:textId="5889F68A" w:rsidR="002C26E2" w:rsidRDefault="00812CB4">
          <w:pPr>
            <w:pStyle w:val="TOC2"/>
            <w:tabs>
              <w:tab w:val="right" w:pos="9019"/>
            </w:tabs>
            <w:rPr>
              <w:noProof/>
            </w:rPr>
          </w:pPr>
          <w:hyperlink w:anchor="_Toc107553">
            <w:r>
              <w:rPr>
                <w:noProof/>
              </w:rPr>
              <w:t>2.8</w:t>
            </w:r>
            <w:r>
              <w:rPr>
                <w:noProof/>
                <w:sz w:val="24"/>
              </w:rPr>
              <w:t xml:space="preserve">  </w:t>
            </w:r>
            <w:r>
              <w:rPr>
                <w:noProof/>
              </w:rPr>
              <w:t>Statutory foundation</w:t>
            </w:r>
            <w:r>
              <w:rPr>
                <w:noProof/>
              </w:rPr>
              <w:tab/>
            </w:r>
            <w:r>
              <w:rPr>
                <w:noProof/>
              </w:rPr>
              <w:fldChar w:fldCharType="begin"/>
            </w:r>
            <w:r>
              <w:rPr>
                <w:noProof/>
              </w:rPr>
              <w:instrText>PAGEREF _Toc107553 \h</w:instrText>
            </w:r>
            <w:r>
              <w:rPr>
                <w:noProof/>
              </w:rPr>
            </w:r>
            <w:r>
              <w:rPr>
                <w:noProof/>
              </w:rPr>
              <w:fldChar w:fldCharType="separate"/>
            </w:r>
            <w:r w:rsidR="00705D26">
              <w:rPr>
                <w:noProof/>
              </w:rPr>
              <w:t>14</w:t>
            </w:r>
            <w:r>
              <w:rPr>
                <w:noProof/>
              </w:rPr>
              <w:fldChar w:fldCharType="end"/>
            </w:r>
          </w:hyperlink>
        </w:p>
        <w:p w14:paraId="497C3903" w14:textId="59999048" w:rsidR="002C26E2" w:rsidRDefault="00812CB4">
          <w:pPr>
            <w:pStyle w:val="TOC2"/>
            <w:tabs>
              <w:tab w:val="right" w:pos="9019"/>
            </w:tabs>
            <w:rPr>
              <w:noProof/>
            </w:rPr>
          </w:pPr>
          <w:hyperlink w:anchor="_Toc107554">
            <w:r>
              <w:rPr>
                <w:noProof/>
              </w:rPr>
              <w:t>2.9</w:t>
            </w:r>
            <w:r>
              <w:rPr>
                <w:noProof/>
                <w:sz w:val="24"/>
              </w:rPr>
              <w:t xml:space="preserve">  </w:t>
            </w:r>
            <w:r>
              <w:rPr>
                <w:noProof/>
              </w:rPr>
              <w:t>Application of the statutory criteria</w:t>
            </w:r>
            <w:r>
              <w:rPr>
                <w:noProof/>
              </w:rPr>
              <w:tab/>
            </w:r>
            <w:r>
              <w:rPr>
                <w:noProof/>
              </w:rPr>
              <w:fldChar w:fldCharType="begin"/>
            </w:r>
            <w:r>
              <w:rPr>
                <w:noProof/>
              </w:rPr>
              <w:instrText>PAGEREF _Toc107554 \h</w:instrText>
            </w:r>
            <w:r>
              <w:rPr>
                <w:noProof/>
              </w:rPr>
            </w:r>
            <w:r>
              <w:rPr>
                <w:noProof/>
              </w:rPr>
              <w:fldChar w:fldCharType="separate"/>
            </w:r>
            <w:r w:rsidR="00705D26">
              <w:rPr>
                <w:noProof/>
              </w:rPr>
              <w:t>15</w:t>
            </w:r>
            <w:r>
              <w:rPr>
                <w:noProof/>
              </w:rPr>
              <w:fldChar w:fldCharType="end"/>
            </w:r>
          </w:hyperlink>
        </w:p>
        <w:p w14:paraId="3DA414D0" w14:textId="217525ED" w:rsidR="002C26E2" w:rsidRDefault="00812CB4">
          <w:pPr>
            <w:pStyle w:val="TOC2"/>
            <w:tabs>
              <w:tab w:val="right" w:pos="9019"/>
            </w:tabs>
            <w:rPr>
              <w:noProof/>
            </w:rPr>
          </w:pPr>
          <w:hyperlink w:anchor="_Toc107555">
            <w:r>
              <w:rPr>
                <w:noProof/>
              </w:rPr>
              <w:t>2.10</w:t>
            </w:r>
            <w:r>
              <w:rPr>
                <w:noProof/>
                <w:sz w:val="24"/>
              </w:rPr>
              <w:t xml:space="preserve">  </w:t>
            </w:r>
            <w:r>
              <w:rPr>
                <w:noProof/>
              </w:rPr>
              <w:t>Affordability in context</w:t>
            </w:r>
            <w:r>
              <w:rPr>
                <w:noProof/>
              </w:rPr>
              <w:tab/>
            </w:r>
            <w:r>
              <w:rPr>
                <w:noProof/>
              </w:rPr>
              <w:fldChar w:fldCharType="begin"/>
            </w:r>
            <w:r>
              <w:rPr>
                <w:noProof/>
              </w:rPr>
              <w:instrText>PAGEREF _Toc107555 \h</w:instrText>
            </w:r>
            <w:r>
              <w:rPr>
                <w:noProof/>
              </w:rPr>
            </w:r>
            <w:r>
              <w:rPr>
                <w:noProof/>
              </w:rPr>
              <w:fldChar w:fldCharType="separate"/>
            </w:r>
            <w:r w:rsidR="00705D26">
              <w:rPr>
                <w:noProof/>
              </w:rPr>
              <w:t>15</w:t>
            </w:r>
            <w:r>
              <w:rPr>
                <w:noProof/>
              </w:rPr>
              <w:fldChar w:fldCharType="end"/>
            </w:r>
          </w:hyperlink>
        </w:p>
        <w:p w14:paraId="5ABF388B" w14:textId="03A83836" w:rsidR="002C26E2" w:rsidRDefault="00812CB4">
          <w:pPr>
            <w:pStyle w:val="TOC2"/>
            <w:tabs>
              <w:tab w:val="right" w:pos="9019"/>
            </w:tabs>
            <w:rPr>
              <w:noProof/>
            </w:rPr>
          </w:pPr>
          <w:hyperlink w:anchor="_Toc107556">
            <w:r>
              <w:rPr>
                <w:noProof/>
              </w:rPr>
              <w:t>2.11</w:t>
            </w:r>
            <w:r>
              <w:rPr>
                <w:noProof/>
                <w:sz w:val="24"/>
              </w:rPr>
              <w:t xml:space="preserve">  </w:t>
            </w:r>
            <w:r>
              <w:rPr>
                <w:noProof/>
              </w:rPr>
              <w:t>Evidential standard and methodology</w:t>
            </w:r>
            <w:r>
              <w:rPr>
                <w:noProof/>
              </w:rPr>
              <w:tab/>
            </w:r>
            <w:r>
              <w:rPr>
                <w:noProof/>
              </w:rPr>
              <w:fldChar w:fldCharType="begin"/>
            </w:r>
            <w:r>
              <w:rPr>
                <w:noProof/>
              </w:rPr>
              <w:instrText>PAGEREF _Toc107556 \h</w:instrText>
            </w:r>
            <w:r>
              <w:rPr>
                <w:noProof/>
              </w:rPr>
            </w:r>
            <w:r>
              <w:rPr>
                <w:noProof/>
              </w:rPr>
              <w:fldChar w:fldCharType="separate"/>
            </w:r>
            <w:r w:rsidR="00705D26">
              <w:rPr>
                <w:noProof/>
              </w:rPr>
              <w:t>16</w:t>
            </w:r>
            <w:r>
              <w:rPr>
                <w:noProof/>
              </w:rPr>
              <w:fldChar w:fldCharType="end"/>
            </w:r>
          </w:hyperlink>
        </w:p>
        <w:p w14:paraId="74E9032F" w14:textId="606B5E8B" w:rsidR="002C26E2" w:rsidRDefault="00812CB4">
          <w:pPr>
            <w:pStyle w:val="TOC2"/>
            <w:tabs>
              <w:tab w:val="right" w:pos="9019"/>
            </w:tabs>
            <w:rPr>
              <w:noProof/>
            </w:rPr>
          </w:pPr>
          <w:hyperlink w:anchor="_Toc107557">
            <w:r>
              <w:rPr>
                <w:noProof/>
              </w:rPr>
              <w:t>2.12</w:t>
            </w:r>
            <w:r>
              <w:rPr>
                <w:noProof/>
                <w:sz w:val="24"/>
              </w:rPr>
              <w:t xml:space="preserve">  </w:t>
            </w:r>
            <w:r>
              <w:rPr>
                <w:noProof/>
              </w:rPr>
              <w:t>Summary: Basis of the Review</w:t>
            </w:r>
            <w:r>
              <w:rPr>
                <w:noProof/>
              </w:rPr>
              <w:tab/>
            </w:r>
            <w:r>
              <w:rPr>
                <w:noProof/>
              </w:rPr>
              <w:fldChar w:fldCharType="begin"/>
            </w:r>
            <w:r>
              <w:rPr>
                <w:noProof/>
              </w:rPr>
              <w:instrText>PAGEREF _Toc107557 \h</w:instrText>
            </w:r>
            <w:r>
              <w:rPr>
                <w:noProof/>
              </w:rPr>
            </w:r>
            <w:r>
              <w:rPr>
                <w:noProof/>
              </w:rPr>
              <w:fldChar w:fldCharType="separate"/>
            </w:r>
            <w:r w:rsidR="00705D26">
              <w:rPr>
                <w:noProof/>
              </w:rPr>
              <w:t>17</w:t>
            </w:r>
            <w:r>
              <w:rPr>
                <w:noProof/>
              </w:rPr>
              <w:fldChar w:fldCharType="end"/>
            </w:r>
          </w:hyperlink>
        </w:p>
        <w:p w14:paraId="2A2C2859" w14:textId="14748F88" w:rsidR="002C26E2" w:rsidRDefault="00812CB4">
          <w:pPr>
            <w:pStyle w:val="TOC2"/>
            <w:tabs>
              <w:tab w:val="right" w:pos="9019"/>
            </w:tabs>
            <w:rPr>
              <w:noProof/>
            </w:rPr>
          </w:pPr>
          <w:hyperlink w:anchor="_Toc107558">
            <w:r>
              <w:rPr>
                <w:noProof/>
              </w:rPr>
              <w:t>2.13</w:t>
            </w:r>
            <w:r>
              <w:rPr>
                <w:noProof/>
                <w:sz w:val="24"/>
              </w:rPr>
              <w:t xml:space="preserve">  </w:t>
            </w:r>
            <w:r>
              <w:rPr>
                <w:noProof/>
              </w:rPr>
              <w:t>Submissions</w:t>
            </w:r>
            <w:r>
              <w:rPr>
                <w:noProof/>
              </w:rPr>
              <w:tab/>
            </w:r>
            <w:r>
              <w:rPr>
                <w:noProof/>
              </w:rPr>
              <w:fldChar w:fldCharType="begin"/>
            </w:r>
            <w:r>
              <w:rPr>
                <w:noProof/>
              </w:rPr>
              <w:instrText>PAGEREF _Toc107558 \h</w:instrText>
            </w:r>
            <w:r>
              <w:rPr>
                <w:noProof/>
              </w:rPr>
            </w:r>
            <w:r>
              <w:rPr>
                <w:noProof/>
              </w:rPr>
              <w:fldChar w:fldCharType="separate"/>
            </w:r>
            <w:r w:rsidR="00705D26">
              <w:rPr>
                <w:noProof/>
              </w:rPr>
              <w:t>18</w:t>
            </w:r>
            <w:r>
              <w:rPr>
                <w:noProof/>
              </w:rPr>
              <w:fldChar w:fldCharType="end"/>
            </w:r>
          </w:hyperlink>
        </w:p>
        <w:p w14:paraId="7B14A4FC" w14:textId="30C8D22B" w:rsidR="002C26E2" w:rsidRDefault="00812CB4">
          <w:pPr>
            <w:pStyle w:val="TOC2"/>
            <w:tabs>
              <w:tab w:val="right" w:pos="9019"/>
            </w:tabs>
            <w:rPr>
              <w:noProof/>
            </w:rPr>
          </w:pPr>
          <w:hyperlink w:anchor="_Toc107559">
            <w:r>
              <w:rPr>
                <w:noProof/>
              </w:rPr>
              <w:t>2.14</w:t>
            </w:r>
            <w:r>
              <w:rPr>
                <w:noProof/>
                <w:sz w:val="24"/>
              </w:rPr>
              <w:t xml:space="preserve">  </w:t>
            </w:r>
            <w:r>
              <w:rPr>
                <w:noProof/>
              </w:rPr>
              <w:t>Submissions received</w:t>
            </w:r>
            <w:r>
              <w:rPr>
                <w:noProof/>
              </w:rPr>
              <w:tab/>
            </w:r>
            <w:r>
              <w:rPr>
                <w:noProof/>
              </w:rPr>
              <w:fldChar w:fldCharType="begin"/>
            </w:r>
            <w:r>
              <w:rPr>
                <w:noProof/>
              </w:rPr>
              <w:instrText>PAGEREF _Toc107559 \h</w:instrText>
            </w:r>
            <w:r>
              <w:rPr>
                <w:noProof/>
              </w:rPr>
            </w:r>
            <w:r>
              <w:rPr>
                <w:noProof/>
              </w:rPr>
              <w:fldChar w:fldCharType="separate"/>
            </w:r>
            <w:r w:rsidR="00705D26">
              <w:rPr>
                <w:noProof/>
              </w:rPr>
              <w:t>18</w:t>
            </w:r>
            <w:r>
              <w:rPr>
                <w:noProof/>
              </w:rPr>
              <w:fldChar w:fldCharType="end"/>
            </w:r>
          </w:hyperlink>
        </w:p>
        <w:p w14:paraId="620A62C3" w14:textId="08B552B0" w:rsidR="002C26E2" w:rsidRDefault="00812CB4">
          <w:pPr>
            <w:pStyle w:val="TOC2"/>
            <w:tabs>
              <w:tab w:val="right" w:pos="9019"/>
            </w:tabs>
            <w:rPr>
              <w:noProof/>
            </w:rPr>
          </w:pPr>
          <w:hyperlink w:anchor="_Toc107560">
            <w:r>
              <w:rPr>
                <w:noProof/>
              </w:rPr>
              <w:t>2.15</w:t>
            </w:r>
            <w:r>
              <w:rPr>
                <w:noProof/>
                <w:sz w:val="24"/>
              </w:rPr>
              <w:t xml:space="preserve">  </w:t>
            </w:r>
            <w:r>
              <w:rPr>
                <w:noProof/>
              </w:rPr>
              <w:t>Evidence provided in support of the submissions</w:t>
            </w:r>
            <w:r>
              <w:rPr>
                <w:noProof/>
              </w:rPr>
              <w:tab/>
            </w:r>
            <w:r>
              <w:rPr>
                <w:noProof/>
              </w:rPr>
              <w:fldChar w:fldCharType="begin"/>
            </w:r>
            <w:r>
              <w:rPr>
                <w:noProof/>
              </w:rPr>
              <w:instrText>PAGEREF _Toc107560 \h</w:instrText>
            </w:r>
            <w:r>
              <w:rPr>
                <w:noProof/>
              </w:rPr>
            </w:r>
            <w:r>
              <w:rPr>
                <w:noProof/>
              </w:rPr>
              <w:fldChar w:fldCharType="separate"/>
            </w:r>
            <w:r w:rsidR="00705D26">
              <w:rPr>
                <w:noProof/>
              </w:rPr>
              <w:t>18</w:t>
            </w:r>
            <w:r>
              <w:rPr>
                <w:noProof/>
              </w:rPr>
              <w:fldChar w:fldCharType="end"/>
            </w:r>
          </w:hyperlink>
        </w:p>
        <w:p w14:paraId="437BBF90" w14:textId="25EE49DB" w:rsidR="002C26E2" w:rsidRDefault="00812CB4">
          <w:pPr>
            <w:pStyle w:val="TOC2"/>
            <w:tabs>
              <w:tab w:val="right" w:pos="9019"/>
            </w:tabs>
            <w:rPr>
              <w:noProof/>
            </w:rPr>
          </w:pPr>
          <w:hyperlink w:anchor="_Toc107561">
            <w:r>
              <w:rPr>
                <w:noProof/>
              </w:rPr>
              <w:t>2.16</w:t>
            </w:r>
            <w:r>
              <w:rPr>
                <w:noProof/>
                <w:sz w:val="24"/>
              </w:rPr>
              <w:t xml:space="preserve">  </w:t>
            </w:r>
            <w:r>
              <w:rPr>
                <w:noProof/>
              </w:rPr>
              <w:t>Scope and focus of the submissions</w:t>
            </w:r>
            <w:r>
              <w:rPr>
                <w:noProof/>
              </w:rPr>
              <w:tab/>
            </w:r>
            <w:r>
              <w:rPr>
                <w:noProof/>
              </w:rPr>
              <w:fldChar w:fldCharType="begin"/>
            </w:r>
            <w:r>
              <w:rPr>
                <w:noProof/>
              </w:rPr>
              <w:instrText>PAGEREF _Toc107561 \h</w:instrText>
            </w:r>
            <w:r>
              <w:rPr>
                <w:noProof/>
              </w:rPr>
            </w:r>
            <w:r>
              <w:rPr>
                <w:noProof/>
              </w:rPr>
              <w:fldChar w:fldCharType="separate"/>
            </w:r>
            <w:r w:rsidR="00705D26">
              <w:rPr>
                <w:noProof/>
              </w:rPr>
              <w:t>19</w:t>
            </w:r>
            <w:r>
              <w:rPr>
                <w:noProof/>
              </w:rPr>
              <w:fldChar w:fldCharType="end"/>
            </w:r>
          </w:hyperlink>
        </w:p>
        <w:p w14:paraId="7D70C04A" w14:textId="6A48AACC" w:rsidR="002C26E2" w:rsidRDefault="00812CB4">
          <w:pPr>
            <w:pStyle w:val="TOC2"/>
            <w:tabs>
              <w:tab w:val="right" w:pos="9019"/>
            </w:tabs>
            <w:rPr>
              <w:noProof/>
            </w:rPr>
          </w:pPr>
          <w:hyperlink w:anchor="_Toc107562">
            <w:r>
              <w:rPr>
                <w:noProof/>
              </w:rPr>
              <w:t>2.17</w:t>
            </w:r>
            <w:r>
              <w:rPr>
                <w:noProof/>
                <w:sz w:val="24"/>
              </w:rPr>
              <w:t xml:space="preserve">  </w:t>
            </w:r>
            <w:r>
              <w:rPr>
                <w:noProof/>
              </w:rPr>
              <w:t>Summary</w:t>
            </w:r>
            <w:r>
              <w:rPr>
                <w:noProof/>
              </w:rPr>
              <w:tab/>
            </w:r>
            <w:r>
              <w:rPr>
                <w:noProof/>
              </w:rPr>
              <w:fldChar w:fldCharType="begin"/>
            </w:r>
            <w:r>
              <w:rPr>
                <w:noProof/>
              </w:rPr>
              <w:instrText>PAGEREF _Toc107562 \h</w:instrText>
            </w:r>
            <w:r>
              <w:rPr>
                <w:noProof/>
              </w:rPr>
            </w:r>
            <w:r>
              <w:rPr>
                <w:noProof/>
              </w:rPr>
              <w:fldChar w:fldCharType="separate"/>
            </w:r>
            <w:r w:rsidR="00705D26">
              <w:rPr>
                <w:noProof/>
              </w:rPr>
              <w:t>20</w:t>
            </w:r>
            <w:r>
              <w:rPr>
                <w:noProof/>
              </w:rPr>
              <w:fldChar w:fldCharType="end"/>
            </w:r>
          </w:hyperlink>
        </w:p>
        <w:p w14:paraId="698DD3F0" w14:textId="5E062B4E" w:rsidR="002C26E2" w:rsidRDefault="00812CB4">
          <w:pPr>
            <w:pStyle w:val="TOC2"/>
            <w:tabs>
              <w:tab w:val="right" w:pos="9019"/>
            </w:tabs>
            <w:rPr>
              <w:noProof/>
            </w:rPr>
          </w:pPr>
          <w:hyperlink w:anchor="_Toc107563">
            <w:r>
              <w:rPr>
                <w:noProof/>
              </w:rPr>
              <w:t>2.18</w:t>
            </w:r>
            <w:r>
              <w:rPr>
                <w:noProof/>
                <w:sz w:val="24"/>
              </w:rPr>
              <w:t xml:space="preserve">  </w:t>
            </w:r>
            <w:r>
              <w:rPr>
                <w:noProof/>
              </w:rPr>
              <w:t>Agreed Scope</w:t>
            </w:r>
            <w:r>
              <w:rPr>
                <w:noProof/>
              </w:rPr>
              <w:tab/>
            </w:r>
            <w:r>
              <w:rPr>
                <w:noProof/>
              </w:rPr>
              <w:fldChar w:fldCharType="begin"/>
            </w:r>
            <w:r>
              <w:rPr>
                <w:noProof/>
              </w:rPr>
              <w:instrText>PAGEREF _Toc107563 \h</w:instrText>
            </w:r>
            <w:r>
              <w:rPr>
                <w:noProof/>
              </w:rPr>
            </w:r>
            <w:r>
              <w:rPr>
                <w:noProof/>
              </w:rPr>
              <w:fldChar w:fldCharType="separate"/>
            </w:r>
            <w:r w:rsidR="00705D26">
              <w:rPr>
                <w:noProof/>
              </w:rPr>
              <w:t>21</w:t>
            </w:r>
            <w:r>
              <w:rPr>
                <w:noProof/>
              </w:rPr>
              <w:fldChar w:fldCharType="end"/>
            </w:r>
          </w:hyperlink>
        </w:p>
        <w:p w14:paraId="01087E2D" w14:textId="0F5AE61B" w:rsidR="002C26E2" w:rsidRDefault="00812CB4">
          <w:pPr>
            <w:pStyle w:val="TOC2"/>
            <w:tabs>
              <w:tab w:val="right" w:pos="9019"/>
            </w:tabs>
            <w:rPr>
              <w:noProof/>
            </w:rPr>
          </w:pPr>
          <w:hyperlink w:anchor="_Toc107564">
            <w:r>
              <w:rPr>
                <w:noProof/>
              </w:rPr>
              <w:t>2.19</w:t>
            </w:r>
            <w:r>
              <w:rPr>
                <w:noProof/>
                <w:sz w:val="24"/>
              </w:rPr>
              <w:t xml:space="preserve">  </w:t>
            </w:r>
            <w:r>
              <w:rPr>
                <w:noProof/>
              </w:rPr>
              <w:t>Overview of the agreed scope</w:t>
            </w:r>
            <w:r>
              <w:rPr>
                <w:noProof/>
              </w:rPr>
              <w:tab/>
            </w:r>
            <w:r>
              <w:rPr>
                <w:noProof/>
              </w:rPr>
              <w:fldChar w:fldCharType="begin"/>
            </w:r>
            <w:r>
              <w:rPr>
                <w:noProof/>
              </w:rPr>
              <w:instrText>PAGEREF _Toc107564 \h</w:instrText>
            </w:r>
            <w:r>
              <w:rPr>
                <w:noProof/>
              </w:rPr>
            </w:r>
            <w:r>
              <w:rPr>
                <w:noProof/>
              </w:rPr>
              <w:fldChar w:fldCharType="separate"/>
            </w:r>
            <w:r w:rsidR="00705D26">
              <w:rPr>
                <w:noProof/>
              </w:rPr>
              <w:t>21</w:t>
            </w:r>
            <w:r>
              <w:rPr>
                <w:noProof/>
              </w:rPr>
              <w:fldChar w:fldCharType="end"/>
            </w:r>
          </w:hyperlink>
        </w:p>
        <w:p w14:paraId="3DDD2B9C" w14:textId="2FED641E" w:rsidR="002C26E2" w:rsidRDefault="00812CB4">
          <w:pPr>
            <w:pStyle w:val="TOC2"/>
            <w:tabs>
              <w:tab w:val="right" w:pos="9019"/>
            </w:tabs>
            <w:rPr>
              <w:noProof/>
            </w:rPr>
          </w:pPr>
          <w:hyperlink w:anchor="_Toc107565">
            <w:r>
              <w:rPr>
                <w:noProof/>
              </w:rPr>
              <w:t>2.20</w:t>
            </w:r>
            <w:r>
              <w:rPr>
                <w:noProof/>
                <w:sz w:val="24"/>
              </w:rPr>
              <w:t xml:space="preserve">  </w:t>
            </w:r>
            <w:r>
              <w:rPr>
                <w:noProof/>
              </w:rPr>
              <w:t>General review of criminal legal aid remuneration levels</w:t>
            </w:r>
            <w:r>
              <w:rPr>
                <w:noProof/>
              </w:rPr>
              <w:tab/>
            </w:r>
            <w:r>
              <w:rPr>
                <w:noProof/>
              </w:rPr>
              <w:fldChar w:fldCharType="begin"/>
            </w:r>
            <w:r>
              <w:rPr>
                <w:noProof/>
              </w:rPr>
              <w:instrText>PAGEREF _Toc107565 \h</w:instrText>
            </w:r>
            <w:r>
              <w:rPr>
                <w:noProof/>
              </w:rPr>
            </w:r>
            <w:r>
              <w:rPr>
                <w:noProof/>
              </w:rPr>
              <w:fldChar w:fldCharType="separate"/>
            </w:r>
            <w:r w:rsidR="00705D26">
              <w:rPr>
                <w:noProof/>
              </w:rPr>
              <w:t>21</w:t>
            </w:r>
            <w:r>
              <w:rPr>
                <w:noProof/>
              </w:rPr>
              <w:fldChar w:fldCharType="end"/>
            </w:r>
          </w:hyperlink>
        </w:p>
        <w:p w14:paraId="68DEE067" w14:textId="004B280A" w:rsidR="002C26E2" w:rsidRDefault="00812CB4">
          <w:pPr>
            <w:pStyle w:val="TOC2"/>
            <w:tabs>
              <w:tab w:val="right" w:pos="9019"/>
            </w:tabs>
            <w:rPr>
              <w:noProof/>
            </w:rPr>
          </w:pPr>
          <w:hyperlink w:anchor="_Toc107566">
            <w:r>
              <w:rPr>
                <w:noProof/>
              </w:rPr>
              <w:t>2.21</w:t>
            </w:r>
            <w:r>
              <w:rPr>
                <w:noProof/>
                <w:sz w:val="24"/>
              </w:rPr>
              <w:t xml:space="preserve">  </w:t>
            </w:r>
            <w:r>
              <w:rPr>
                <w:noProof/>
              </w:rPr>
              <w:t>Crown Court work undertaken by barristers</w:t>
            </w:r>
            <w:r>
              <w:rPr>
                <w:noProof/>
              </w:rPr>
              <w:tab/>
            </w:r>
            <w:r>
              <w:rPr>
                <w:noProof/>
              </w:rPr>
              <w:fldChar w:fldCharType="begin"/>
            </w:r>
            <w:r>
              <w:rPr>
                <w:noProof/>
              </w:rPr>
              <w:instrText>PAGEREF _Toc107566 \h</w:instrText>
            </w:r>
            <w:r>
              <w:rPr>
                <w:noProof/>
              </w:rPr>
            </w:r>
            <w:r>
              <w:rPr>
                <w:noProof/>
              </w:rPr>
              <w:fldChar w:fldCharType="separate"/>
            </w:r>
            <w:r w:rsidR="00705D26">
              <w:rPr>
                <w:noProof/>
              </w:rPr>
              <w:t>22</w:t>
            </w:r>
            <w:r>
              <w:rPr>
                <w:noProof/>
              </w:rPr>
              <w:fldChar w:fldCharType="end"/>
            </w:r>
          </w:hyperlink>
        </w:p>
        <w:p w14:paraId="4953C7D4" w14:textId="1A25150C" w:rsidR="002C26E2" w:rsidRDefault="00812CB4">
          <w:pPr>
            <w:pStyle w:val="TOC2"/>
            <w:tabs>
              <w:tab w:val="right" w:pos="9019"/>
            </w:tabs>
            <w:rPr>
              <w:noProof/>
            </w:rPr>
          </w:pPr>
          <w:hyperlink w:anchor="_Toc107567">
            <w:r>
              <w:rPr>
                <w:noProof/>
              </w:rPr>
              <w:t>2.22</w:t>
            </w:r>
            <w:r>
              <w:rPr>
                <w:noProof/>
                <w:sz w:val="24"/>
              </w:rPr>
              <w:t xml:space="preserve">  </w:t>
            </w:r>
            <w:r>
              <w:rPr>
                <w:noProof/>
              </w:rPr>
              <w:t>Crown Court work undertaken by solicitors</w:t>
            </w:r>
            <w:r>
              <w:rPr>
                <w:noProof/>
              </w:rPr>
              <w:tab/>
            </w:r>
            <w:r>
              <w:rPr>
                <w:noProof/>
              </w:rPr>
              <w:fldChar w:fldCharType="begin"/>
            </w:r>
            <w:r>
              <w:rPr>
                <w:noProof/>
              </w:rPr>
              <w:instrText>PAGEREF _Toc107567 \h</w:instrText>
            </w:r>
            <w:r>
              <w:rPr>
                <w:noProof/>
              </w:rPr>
            </w:r>
            <w:r>
              <w:rPr>
                <w:noProof/>
              </w:rPr>
              <w:fldChar w:fldCharType="separate"/>
            </w:r>
            <w:r w:rsidR="00705D26">
              <w:rPr>
                <w:noProof/>
              </w:rPr>
              <w:t>22</w:t>
            </w:r>
            <w:r>
              <w:rPr>
                <w:noProof/>
              </w:rPr>
              <w:fldChar w:fldCharType="end"/>
            </w:r>
          </w:hyperlink>
        </w:p>
        <w:p w14:paraId="2E25E5E3" w14:textId="2A0056DF" w:rsidR="002C26E2" w:rsidRDefault="00812CB4">
          <w:pPr>
            <w:pStyle w:val="TOC2"/>
            <w:tabs>
              <w:tab w:val="right" w:pos="9019"/>
            </w:tabs>
            <w:rPr>
              <w:noProof/>
            </w:rPr>
          </w:pPr>
          <w:hyperlink w:anchor="_Toc107568">
            <w:r>
              <w:rPr>
                <w:noProof/>
              </w:rPr>
              <w:t>2.23</w:t>
            </w:r>
            <w:r>
              <w:rPr>
                <w:noProof/>
                <w:sz w:val="24"/>
              </w:rPr>
              <w:t xml:space="preserve">  </w:t>
            </w:r>
            <w:r>
              <w:rPr>
                <w:noProof/>
              </w:rPr>
              <w:t>Time and Rates</w:t>
            </w:r>
            <w:r>
              <w:rPr>
                <w:noProof/>
              </w:rPr>
              <w:tab/>
            </w:r>
            <w:r>
              <w:rPr>
                <w:noProof/>
              </w:rPr>
              <w:fldChar w:fldCharType="begin"/>
            </w:r>
            <w:r>
              <w:rPr>
                <w:noProof/>
              </w:rPr>
              <w:instrText>PAGEREF _Toc107568 \h</w:instrText>
            </w:r>
            <w:r>
              <w:rPr>
                <w:noProof/>
              </w:rPr>
            </w:r>
            <w:r>
              <w:rPr>
                <w:noProof/>
              </w:rPr>
              <w:fldChar w:fldCharType="separate"/>
            </w:r>
            <w:r w:rsidR="00705D26">
              <w:rPr>
                <w:noProof/>
              </w:rPr>
              <w:t>23</w:t>
            </w:r>
            <w:r>
              <w:rPr>
                <w:noProof/>
              </w:rPr>
              <w:fldChar w:fldCharType="end"/>
            </w:r>
          </w:hyperlink>
        </w:p>
        <w:p w14:paraId="7EF0EF15" w14:textId="3A5A7373" w:rsidR="002C26E2" w:rsidRDefault="00812CB4">
          <w:pPr>
            <w:pStyle w:val="TOC2"/>
            <w:tabs>
              <w:tab w:val="right" w:pos="9019"/>
            </w:tabs>
            <w:rPr>
              <w:noProof/>
            </w:rPr>
          </w:pPr>
          <w:hyperlink w:anchor="_Toc107569">
            <w:r>
              <w:rPr>
                <w:noProof/>
              </w:rPr>
              <w:t>2.24</w:t>
            </w:r>
            <w:r>
              <w:rPr>
                <w:noProof/>
                <w:sz w:val="24"/>
              </w:rPr>
              <w:t xml:space="preserve">  </w:t>
            </w:r>
            <w:r>
              <w:rPr>
                <w:noProof/>
              </w:rPr>
              <w:t>Relationship between the scope headings</w:t>
            </w:r>
            <w:r>
              <w:rPr>
                <w:noProof/>
              </w:rPr>
              <w:tab/>
            </w:r>
            <w:r>
              <w:rPr>
                <w:noProof/>
              </w:rPr>
              <w:fldChar w:fldCharType="begin"/>
            </w:r>
            <w:r>
              <w:rPr>
                <w:noProof/>
              </w:rPr>
              <w:instrText>PAGEREF _Toc107569 \h</w:instrText>
            </w:r>
            <w:r>
              <w:rPr>
                <w:noProof/>
              </w:rPr>
            </w:r>
            <w:r>
              <w:rPr>
                <w:noProof/>
              </w:rPr>
              <w:fldChar w:fldCharType="separate"/>
            </w:r>
            <w:r w:rsidR="00705D26">
              <w:rPr>
                <w:noProof/>
              </w:rPr>
              <w:t>25</w:t>
            </w:r>
            <w:r>
              <w:rPr>
                <w:noProof/>
              </w:rPr>
              <w:fldChar w:fldCharType="end"/>
            </w:r>
          </w:hyperlink>
        </w:p>
        <w:p w14:paraId="7C10EC9D" w14:textId="4F8BDD0C" w:rsidR="002C26E2" w:rsidRDefault="00812CB4">
          <w:pPr>
            <w:pStyle w:val="TOC2"/>
            <w:tabs>
              <w:tab w:val="right" w:pos="9019"/>
            </w:tabs>
            <w:rPr>
              <w:noProof/>
            </w:rPr>
          </w:pPr>
          <w:hyperlink w:anchor="_Toc107570">
            <w:r>
              <w:rPr>
                <w:noProof/>
              </w:rPr>
              <w:t>2.25</w:t>
            </w:r>
            <w:r>
              <w:rPr>
                <w:noProof/>
                <w:sz w:val="24"/>
              </w:rPr>
              <w:t xml:space="preserve">  </w:t>
            </w:r>
            <w:r>
              <w:rPr>
                <w:noProof/>
              </w:rPr>
              <w:t>Summary of the agreed scope</w:t>
            </w:r>
            <w:r>
              <w:rPr>
                <w:noProof/>
              </w:rPr>
              <w:tab/>
            </w:r>
            <w:r>
              <w:rPr>
                <w:noProof/>
              </w:rPr>
              <w:fldChar w:fldCharType="begin"/>
            </w:r>
            <w:r>
              <w:rPr>
                <w:noProof/>
              </w:rPr>
              <w:instrText>PAGEREF _Toc107570 \h</w:instrText>
            </w:r>
            <w:r>
              <w:rPr>
                <w:noProof/>
              </w:rPr>
            </w:r>
            <w:r>
              <w:rPr>
                <w:noProof/>
              </w:rPr>
              <w:fldChar w:fldCharType="separate"/>
            </w:r>
            <w:r w:rsidR="00705D26">
              <w:rPr>
                <w:noProof/>
              </w:rPr>
              <w:t>25</w:t>
            </w:r>
            <w:r>
              <w:rPr>
                <w:noProof/>
              </w:rPr>
              <w:fldChar w:fldCharType="end"/>
            </w:r>
          </w:hyperlink>
        </w:p>
        <w:p w14:paraId="30524A22" w14:textId="358E6E81" w:rsidR="002C26E2" w:rsidRDefault="00812CB4">
          <w:pPr>
            <w:pStyle w:val="TOC1"/>
            <w:tabs>
              <w:tab w:val="right" w:pos="9019"/>
            </w:tabs>
            <w:rPr>
              <w:noProof/>
            </w:rPr>
          </w:pPr>
          <w:hyperlink w:anchor="_Toc107571">
            <w:r>
              <w:rPr>
                <w:noProof/>
              </w:rPr>
              <w:t>3</w:t>
            </w:r>
            <w:r>
              <w:rPr>
                <w:b w:val="0"/>
                <w:noProof/>
                <w:color w:val="000000"/>
                <w:sz w:val="24"/>
              </w:rPr>
              <w:t xml:space="preserve">  </w:t>
            </w:r>
            <w:r>
              <w:rPr>
                <w:noProof/>
              </w:rPr>
              <w:t>IMPACT OF INFLATION ON CRIMINAL LEGAL AID FEES</w:t>
            </w:r>
            <w:r>
              <w:rPr>
                <w:noProof/>
              </w:rPr>
              <w:tab/>
            </w:r>
            <w:r>
              <w:rPr>
                <w:noProof/>
              </w:rPr>
              <w:fldChar w:fldCharType="begin"/>
            </w:r>
            <w:r>
              <w:rPr>
                <w:noProof/>
              </w:rPr>
              <w:instrText>PAGEREF _Toc107571 \h</w:instrText>
            </w:r>
            <w:r>
              <w:rPr>
                <w:noProof/>
              </w:rPr>
            </w:r>
            <w:r>
              <w:rPr>
                <w:noProof/>
              </w:rPr>
              <w:fldChar w:fldCharType="separate"/>
            </w:r>
            <w:r w:rsidR="00705D26">
              <w:rPr>
                <w:noProof/>
              </w:rPr>
              <w:t>26</w:t>
            </w:r>
            <w:r>
              <w:rPr>
                <w:noProof/>
              </w:rPr>
              <w:fldChar w:fldCharType="end"/>
            </w:r>
          </w:hyperlink>
        </w:p>
        <w:p w14:paraId="5FF2C102" w14:textId="7F38E747" w:rsidR="002C26E2" w:rsidRDefault="00812CB4">
          <w:pPr>
            <w:pStyle w:val="TOC2"/>
            <w:tabs>
              <w:tab w:val="right" w:pos="9019"/>
            </w:tabs>
            <w:rPr>
              <w:noProof/>
            </w:rPr>
          </w:pPr>
          <w:hyperlink w:anchor="_Toc107572">
            <w:r>
              <w:rPr>
                <w:noProof/>
              </w:rPr>
              <w:t>3.1</w:t>
            </w:r>
            <w:r>
              <w:rPr>
                <w:noProof/>
                <w:sz w:val="24"/>
              </w:rPr>
              <w:t xml:space="preserve">  </w:t>
            </w:r>
            <w:r>
              <w:rPr>
                <w:noProof/>
              </w:rPr>
              <w:t>Approach taken</w:t>
            </w:r>
            <w:r>
              <w:rPr>
                <w:noProof/>
              </w:rPr>
              <w:tab/>
            </w:r>
            <w:r>
              <w:rPr>
                <w:noProof/>
              </w:rPr>
              <w:fldChar w:fldCharType="begin"/>
            </w:r>
            <w:r>
              <w:rPr>
                <w:noProof/>
              </w:rPr>
              <w:instrText>PAGEREF _Toc107572 \h</w:instrText>
            </w:r>
            <w:r>
              <w:rPr>
                <w:noProof/>
              </w:rPr>
            </w:r>
            <w:r>
              <w:rPr>
                <w:noProof/>
              </w:rPr>
              <w:fldChar w:fldCharType="separate"/>
            </w:r>
            <w:r w:rsidR="00705D26">
              <w:rPr>
                <w:noProof/>
              </w:rPr>
              <w:t>26</w:t>
            </w:r>
            <w:r>
              <w:rPr>
                <w:noProof/>
              </w:rPr>
              <w:fldChar w:fldCharType="end"/>
            </w:r>
          </w:hyperlink>
        </w:p>
        <w:p w14:paraId="7EE34E94" w14:textId="367B2435" w:rsidR="002C26E2" w:rsidRDefault="00812CB4">
          <w:pPr>
            <w:pStyle w:val="TOC2"/>
            <w:tabs>
              <w:tab w:val="right" w:pos="9019"/>
            </w:tabs>
            <w:rPr>
              <w:noProof/>
            </w:rPr>
          </w:pPr>
          <w:hyperlink w:anchor="_Toc107573">
            <w:r>
              <w:rPr>
                <w:noProof/>
              </w:rPr>
              <w:t>3.2</w:t>
            </w:r>
            <w:r>
              <w:rPr>
                <w:noProof/>
                <w:sz w:val="24"/>
              </w:rPr>
              <w:t xml:space="preserve">  </w:t>
            </w:r>
            <w:r>
              <w:rPr>
                <w:noProof/>
              </w:rPr>
              <w:t>General inflation measures</w:t>
            </w:r>
            <w:r>
              <w:rPr>
                <w:noProof/>
              </w:rPr>
              <w:tab/>
            </w:r>
            <w:r>
              <w:rPr>
                <w:noProof/>
              </w:rPr>
              <w:fldChar w:fldCharType="begin"/>
            </w:r>
            <w:r>
              <w:rPr>
                <w:noProof/>
              </w:rPr>
              <w:instrText>PAGEREF _Toc107573 \h</w:instrText>
            </w:r>
            <w:r>
              <w:rPr>
                <w:noProof/>
              </w:rPr>
            </w:r>
            <w:r>
              <w:rPr>
                <w:noProof/>
              </w:rPr>
              <w:fldChar w:fldCharType="separate"/>
            </w:r>
            <w:r w:rsidR="00705D26">
              <w:rPr>
                <w:noProof/>
              </w:rPr>
              <w:t>26</w:t>
            </w:r>
            <w:r>
              <w:rPr>
                <w:noProof/>
              </w:rPr>
              <w:fldChar w:fldCharType="end"/>
            </w:r>
          </w:hyperlink>
        </w:p>
        <w:p w14:paraId="714A7056" w14:textId="1165AB87" w:rsidR="002C26E2" w:rsidRDefault="00812CB4">
          <w:pPr>
            <w:pStyle w:val="TOC2"/>
            <w:tabs>
              <w:tab w:val="right" w:pos="9019"/>
            </w:tabs>
            <w:rPr>
              <w:noProof/>
            </w:rPr>
          </w:pPr>
          <w:hyperlink w:anchor="_Toc107574">
            <w:r>
              <w:rPr>
                <w:noProof/>
              </w:rPr>
              <w:t>3.3</w:t>
            </w:r>
            <w:r>
              <w:rPr>
                <w:noProof/>
                <w:sz w:val="24"/>
              </w:rPr>
              <w:t xml:space="preserve">  </w:t>
            </w:r>
            <w:r>
              <w:rPr>
                <w:noProof/>
              </w:rPr>
              <w:t>Wage inflation and comparator analysis</w:t>
            </w:r>
            <w:r>
              <w:rPr>
                <w:noProof/>
              </w:rPr>
              <w:tab/>
            </w:r>
            <w:r>
              <w:rPr>
                <w:noProof/>
              </w:rPr>
              <w:fldChar w:fldCharType="begin"/>
            </w:r>
            <w:r>
              <w:rPr>
                <w:noProof/>
              </w:rPr>
              <w:instrText>PAGEREF _Toc107574 \h</w:instrText>
            </w:r>
            <w:r>
              <w:rPr>
                <w:noProof/>
              </w:rPr>
            </w:r>
            <w:r>
              <w:rPr>
                <w:noProof/>
              </w:rPr>
              <w:fldChar w:fldCharType="separate"/>
            </w:r>
            <w:r w:rsidR="00705D26">
              <w:rPr>
                <w:noProof/>
              </w:rPr>
              <w:t>28</w:t>
            </w:r>
            <w:r>
              <w:rPr>
                <w:noProof/>
              </w:rPr>
              <w:fldChar w:fldCharType="end"/>
            </w:r>
          </w:hyperlink>
        </w:p>
        <w:p w14:paraId="4FC474B9" w14:textId="269757D4" w:rsidR="002C26E2" w:rsidRDefault="00812CB4">
          <w:pPr>
            <w:pStyle w:val="TOC2"/>
            <w:tabs>
              <w:tab w:val="right" w:pos="9019"/>
            </w:tabs>
            <w:rPr>
              <w:noProof/>
            </w:rPr>
          </w:pPr>
          <w:hyperlink w:anchor="_Toc107575">
            <w:r>
              <w:rPr>
                <w:noProof/>
              </w:rPr>
              <w:t>3.4</w:t>
            </w:r>
            <w:r>
              <w:rPr>
                <w:noProof/>
                <w:sz w:val="24"/>
              </w:rPr>
              <w:t xml:space="preserve">  </w:t>
            </w:r>
            <w:r>
              <w:rPr>
                <w:noProof/>
              </w:rPr>
              <w:t>Other Comparators referred to in the CBA Submissions</w:t>
            </w:r>
            <w:r>
              <w:rPr>
                <w:noProof/>
              </w:rPr>
              <w:tab/>
            </w:r>
            <w:r>
              <w:rPr>
                <w:noProof/>
              </w:rPr>
              <w:fldChar w:fldCharType="begin"/>
            </w:r>
            <w:r>
              <w:rPr>
                <w:noProof/>
              </w:rPr>
              <w:instrText>PAGEREF _Toc107575 \h</w:instrText>
            </w:r>
            <w:r>
              <w:rPr>
                <w:noProof/>
              </w:rPr>
            </w:r>
            <w:r>
              <w:rPr>
                <w:noProof/>
              </w:rPr>
              <w:fldChar w:fldCharType="separate"/>
            </w:r>
            <w:r w:rsidR="00705D26">
              <w:rPr>
                <w:noProof/>
              </w:rPr>
              <w:t>32</w:t>
            </w:r>
            <w:r>
              <w:rPr>
                <w:noProof/>
              </w:rPr>
              <w:fldChar w:fldCharType="end"/>
            </w:r>
          </w:hyperlink>
        </w:p>
        <w:p w14:paraId="3EBEC32F" w14:textId="05453907" w:rsidR="002C26E2" w:rsidRDefault="00812CB4">
          <w:pPr>
            <w:pStyle w:val="TOC2"/>
            <w:tabs>
              <w:tab w:val="right" w:pos="9019"/>
            </w:tabs>
            <w:rPr>
              <w:noProof/>
            </w:rPr>
          </w:pPr>
          <w:hyperlink w:anchor="_Toc107576">
            <w:r>
              <w:rPr>
                <w:noProof/>
              </w:rPr>
              <w:t>3.5</w:t>
            </w:r>
            <w:r>
              <w:rPr>
                <w:noProof/>
                <w:sz w:val="24"/>
              </w:rPr>
              <w:t xml:space="preserve">  </w:t>
            </w:r>
            <w:r>
              <w:rPr>
                <w:noProof/>
              </w:rPr>
              <w:t>Conclusions &amp; Recommendations</w:t>
            </w:r>
            <w:r>
              <w:rPr>
                <w:noProof/>
              </w:rPr>
              <w:tab/>
            </w:r>
            <w:r>
              <w:rPr>
                <w:noProof/>
              </w:rPr>
              <w:fldChar w:fldCharType="begin"/>
            </w:r>
            <w:r>
              <w:rPr>
                <w:noProof/>
              </w:rPr>
              <w:instrText>PAGEREF _Toc107576 \h</w:instrText>
            </w:r>
            <w:r>
              <w:rPr>
                <w:noProof/>
              </w:rPr>
            </w:r>
            <w:r>
              <w:rPr>
                <w:noProof/>
              </w:rPr>
              <w:fldChar w:fldCharType="separate"/>
            </w:r>
            <w:r w:rsidR="00705D26">
              <w:rPr>
                <w:noProof/>
              </w:rPr>
              <w:t>32</w:t>
            </w:r>
            <w:r>
              <w:rPr>
                <w:noProof/>
              </w:rPr>
              <w:fldChar w:fldCharType="end"/>
            </w:r>
          </w:hyperlink>
        </w:p>
        <w:p w14:paraId="3752C415" w14:textId="3DDE7F4B" w:rsidR="002C26E2" w:rsidRDefault="00812CB4">
          <w:pPr>
            <w:pStyle w:val="TOC1"/>
            <w:tabs>
              <w:tab w:val="right" w:pos="9019"/>
            </w:tabs>
            <w:rPr>
              <w:noProof/>
            </w:rPr>
          </w:pPr>
          <w:hyperlink w:anchor="_Toc107577">
            <w:r>
              <w:rPr>
                <w:noProof/>
              </w:rPr>
              <w:t>4</w:t>
            </w:r>
            <w:r>
              <w:rPr>
                <w:b w:val="0"/>
                <w:noProof/>
                <w:color w:val="000000"/>
                <w:sz w:val="24"/>
              </w:rPr>
              <w:t xml:space="preserve">  </w:t>
            </w:r>
            <w:r>
              <w:rPr>
                <w:noProof/>
              </w:rPr>
              <w:t>COMPARABLES</w:t>
            </w:r>
            <w:r>
              <w:rPr>
                <w:noProof/>
              </w:rPr>
              <w:tab/>
            </w:r>
            <w:r>
              <w:rPr>
                <w:noProof/>
              </w:rPr>
              <w:fldChar w:fldCharType="begin"/>
            </w:r>
            <w:r>
              <w:rPr>
                <w:noProof/>
              </w:rPr>
              <w:instrText>PAGEREF _Toc107577 \h</w:instrText>
            </w:r>
            <w:r>
              <w:rPr>
                <w:noProof/>
              </w:rPr>
            </w:r>
            <w:r>
              <w:rPr>
                <w:noProof/>
              </w:rPr>
              <w:fldChar w:fldCharType="separate"/>
            </w:r>
            <w:r w:rsidR="00705D26">
              <w:rPr>
                <w:noProof/>
              </w:rPr>
              <w:t>35</w:t>
            </w:r>
            <w:r>
              <w:rPr>
                <w:noProof/>
              </w:rPr>
              <w:fldChar w:fldCharType="end"/>
            </w:r>
          </w:hyperlink>
        </w:p>
        <w:p w14:paraId="7D392394" w14:textId="1C8468A0" w:rsidR="002C26E2" w:rsidRDefault="00812CB4">
          <w:pPr>
            <w:pStyle w:val="TOC1"/>
            <w:tabs>
              <w:tab w:val="right" w:pos="9019"/>
            </w:tabs>
            <w:rPr>
              <w:noProof/>
            </w:rPr>
          </w:pPr>
          <w:hyperlink w:anchor="_Toc107578">
            <w:r>
              <w:rPr>
                <w:noProof/>
              </w:rPr>
              <w:t>5</w:t>
            </w:r>
            <w:r>
              <w:rPr>
                <w:b w:val="0"/>
                <w:noProof/>
                <w:color w:val="000000"/>
                <w:sz w:val="24"/>
              </w:rPr>
              <w:t xml:space="preserve">  </w:t>
            </w:r>
            <w:r>
              <w:rPr>
                <w:noProof/>
              </w:rPr>
              <w:t>EXCEPTIONAL PREPARATION AND PPE</w:t>
            </w:r>
            <w:r>
              <w:rPr>
                <w:noProof/>
              </w:rPr>
              <w:tab/>
            </w:r>
            <w:r>
              <w:rPr>
                <w:noProof/>
              </w:rPr>
              <w:fldChar w:fldCharType="begin"/>
            </w:r>
            <w:r>
              <w:rPr>
                <w:noProof/>
              </w:rPr>
              <w:instrText>PAGEREF _Toc107578 \h</w:instrText>
            </w:r>
            <w:r>
              <w:rPr>
                <w:noProof/>
              </w:rPr>
            </w:r>
            <w:r>
              <w:rPr>
                <w:noProof/>
              </w:rPr>
              <w:fldChar w:fldCharType="separate"/>
            </w:r>
            <w:r w:rsidR="00705D26">
              <w:rPr>
                <w:noProof/>
              </w:rPr>
              <w:t>40</w:t>
            </w:r>
            <w:r>
              <w:rPr>
                <w:noProof/>
              </w:rPr>
              <w:fldChar w:fldCharType="end"/>
            </w:r>
          </w:hyperlink>
        </w:p>
        <w:p w14:paraId="1416EFB0" w14:textId="2A0716E6" w:rsidR="002C26E2" w:rsidRDefault="00812CB4">
          <w:pPr>
            <w:pStyle w:val="TOC2"/>
            <w:tabs>
              <w:tab w:val="right" w:pos="9019"/>
            </w:tabs>
            <w:rPr>
              <w:noProof/>
            </w:rPr>
          </w:pPr>
          <w:hyperlink w:anchor="_Toc107579">
            <w:r>
              <w:rPr>
                <w:noProof/>
              </w:rPr>
              <w:t>5.1</w:t>
            </w:r>
            <w:r>
              <w:rPr>
                <w:noProof/>
                <w:sz w:val="24"/>
              </w:rPr>
              <w:t xml:space="preserve">  </w:t>
            </w:r>
            <w:r>
              <w:rPr>
                <w:noProof/>
              </w:rPr>
              <w:t>Existing EP framework</w:t>
            </w:r>
            <w:r>
              <w:rPr>
                <w:noProof/>
              </w:rPr>
              <w:tab/>
            </w:r>
            <w:r>
              <w:rPr>
                <w:noProof/>
              </w:rPr>
              <w:fldChar w:fldCharType="begin"/>
            </w:r>
            <w:r>
              <w:rPr>
                <w:noProof/>
              </w:rPr>
              <w:instrText>PAGEREF _Toc107579 \h</w:instrText>
            </w:r>
            <w:r>
              <w:rPr>
                <w:noProof/>
              </w:rPr>
            </w:r>
            <w:r>
              <w:rPr>
                <w:noProof/>
              </w:rPr>
              <w:fldChar w:fldCharType="separate"/>
            </w:r>
            <w:r w:rsidR="00705D26">
              <w:rPr>
                <w:noProof/>
              </w:rPr>
              <w:t>40</w:t>
            </w:r>
            <w:r>
              <w:rPr>
                <w:noProof/>
              </w:rPr>
              <w:fldChar w:fldCharType="end"/>
            </w:r>
          </w:hyperlink>
        </w:p>
        <w:p w14:paraId="4EF5DD6C" w14:textId="2263726E" w:rsidR="002C26E2" w:rsidRDefault="00812CB4">
          <w:pPr>
            <w:pStyle w:val="TOC2"/>
            <w:tabs>
              <w:tab w:val="right" w:pos="9019"/>
            </w:tabs>
            <w:rPr>
              <w:noProof/>
            </w:rPr>
          </w:pPr>
          <w:hyperlink w:anchor="_Toc107580">
            <w:r>
              <w:rPr>
                <w:noProof/>
              </w:rPr>
              <w:t>5.2</w:t>
            </w:r>
            <w:r>
              <w:rPr>
                <w:noProof/>
                <w:sz w:val="24"/>
              </w:rPr>
              <w:t xml:space="preserve">  </w:t>
            </w:r>
            <w:r>
              <w:rPr>
                <w:noProof/>
              </w:rPr>
              <w:t>Empirical evidence on EP usage</w:t>
            </w:r>
            <w:r>
              <w:rPr>
                <w:noProof/>
              </w:rPr>
              <w:tab/>
            </w:r>
            <w:r>
              <w:rPr>
                <w:noProof/>
              </w:rPr>
              <w:fldChar w:fldCharType="begin"/>
            </w:r>
            <w:r>
              <w:rPr>
                <w:noProof/>
              </w:rPr>
              <w:instrText>PAGEREF _Toc107580 \h</w:instrText>
            </w:r>
            <w:r>
              <w:rPr>
                <w:noProof/>
              </w:rPr>
            </w:r>
            <w:r>
              <w:rPr>
                <w:noProof/>
              </w:rPr>
              <w:fldChar w:fldCharType="separate"/>
            </w:r>
            <w:r w:rsidR="00705D26">
              <w:rPr>
                <w:noProof/>
              </w:rPr>
              <w:t>42</w:t>
            </w:r>
            <w:r>
              <w:rPr>
                <w:noProof/>
              </w:rPr>
              <w:fldChar w:fldCharType="end"/>
            </w:r>
          </w:hyperlink>
        </w:p>
        <w:p w14:paraId="493C51B3" w14:textId="47513CEC" w:rsidR="002C26E2" w:rsidRDefault="00812CB4">
          <w:pPr>
            <w:pStyle w:val="TOC2"/>
            <w:tabs>
              <w:tab w:val="right" w:pos="9019"/>
            </w:tabs>
            <w:rPr>
              <w:noProof/>
            </w:rPr>
          </w:pPr>
          <w:hyperlink w:anchor="_Toc107581">
            <w:r>
              <w:rPr>
                <w:noProof/>
              </w:rPr>
              <w:t>5.3</w:t>
            </w:r>
            <w:r>
              <w:rPr>
                <w:noProof/>
                <w:sz w:val="24"/>
              </w:rPr>
              <w:t xml:space="preserve">  </w:t>
            </w:r>
            <w:r>
              <w:rPr>
                <w:noProof/>
              </w:rPr>
              <w:t>Alternative approach to PPE and reading</w:t>
            </w:r>
            <w:r>
              <w:rPr>
                <w:noProof/>
              </w:rPr>
              <w:tab/>
            </w:r>
            <w:r>
              <w:rPr>
                <w:noProof/>
              </w:rPr>
              <w:fldChar w:fldCharType="begin"/>
            </w:r>
            <w:r>
              <w:rPr>
                <w:noProof/>
              </w:rPr>
              <w:instrText>PAGEREF _Toc107581 \h</w:instrText>
            </w:r>
            <w:r>
              <w:rPr>
                <w:noProof/>
              </w:rPr>
            </w:r>
            <w:r>
              <w:rPr>
                <w:noProof/>
              </w:rPr>
              <w:fldChar w:fldCharType="separate"/>
            </w:r>
            <w:r w:rsidR="00705D26">
              <w:rPr>
                <w:noProof/>
              </w:rPr>
              <w:t>44</w:t>
            </w:r>
            <w:r>
              <w:rPr>
                <w:noProof/>
              </w:rPr>
              <w:fldChar w:fldCharType="end"/>
            </w:r>
          </w:hyperlink>
        </w:p>
        <w:p w14:paraId="2A171539" w14:textId="606EE9DD" w:rsidR="002C26E2" w:rsidRDefault="00812CB4">
          <w:pPr>
            <w:pStyle w:val="TOC2"/>
            <w:tabs>
              <w:tab w:val="right" w:pos="9019"/>
            </w:tabs>
            <w:rPr>
              <w:noProof/>
            </w:rPr>
          </w:pPr>
          <w:hyperlink w:anchor="_Toc107582">
            <w:r>
              <w:rPr>
                <w:noProof/>
              </w:rPr>
              <w:t>5.4</w:t>
            </w:r>
            <w:r>
              <w:rPr>
                <w:noProof/>
                <w:sz w:val="24"/>
              </w:rPr>
              <w:t xml:space="preserve">  </w:t>
            </w:r>
            <w:r>
              <w:rPr>
                <w:noProof/>
              </w:rPr>
              <w:t>Conclusions on Exceptional Preparation</w:t>
            </w:r>
            <w:r>
              <w:rPr>
                <w:noProof/>
              </w:rPr>
              <w:tab/>
            </w:r>
            <w:r>
              <w:rPr>
                <w:noProof/>
              </w:rPr>
              <w:fldChar w:fldCharType="begin"/>
            </w:r>
            <w:r>
              <w:rPr>
                <w:noProof/>
              </w:rPr>
              <w:instrText>PAGEREF _Toc107582 \h</w:instrText>
            </w:r>
            <w:r>
              <w:rPr>
                <w:noProof/>
              </w:rPr>
            </w:r>
            <w:r>
              <w:rPr>
                <w:noProof/>
              </w:rPr>
              <w:fldChar w:fldCharType="separate"/>
            </w:r>
            <w:r w:rsidR="00705D26">
              <w:rPr>
                <w:noProof/>
              </w:rPr>
              <w:t>45</w:t>
            </w:r>
            <w:r>
              <w:rPr>
                <w:noProof/>
              </w:rPr>
              <w:fldChar w:fldCharType="end"/>
            </w:r>
          </w:hyperlink>
        </w:p>
        <w:p w14:paraId="5295F356" w14:textId="42772F34" w:rsidR="002C26E2" w:rsidRDefault="00812CB4">
          <w:pPr>
            <w:pStyle w:val="TOC2"/>
            <w:tabs>
              <w:tab w:val="right" w:pos="9019"/>
            </w:tabs>
            <w:rPr>
              <w:noProof/>
            </w:rPr>
          </w:pPr>
          <w:hyperlink w:anchor="_Toc107583">
            <w:r>
              <w:rPr>
                <w:noProof/>
              </w:rPr>
              <w:t>5.5</w:t>
            </w:r>
            <w:r>
              <w:rPr>
                <w:noProof/>
                <w:sz w:val="24"/>
              </w:rPr>
              <w:t xml:space="preserve">  </w:t>
            </w:r>
            <w:r>
              <w:rPr>
                <w:noProof/>
              </w:rPr>
              <w:t>Recommendations: Exceptional Preparation</w:t>
            </w:r>
            <w:r>
              <w:rPr>
                <w:noProof/>
              </w:rPr>
              <w:tab/>
            </w:r>
            <w:r>
              <w:rPr>
                <w:noProof/>
              </w:rPr>
              <w:fldChar w:fldCharType="begin"/>
            </w:r>
            <w:r>
              <w:rPr>
                <w:noProof/>
              </w:rPr>
              <w:instrText>PAGEREF _Toc107583 \h</w:instrText>
            </w:r>
            <w:r>
              <w:rPr>
                <w:noProof/>
              </w:rPr>
            </w:r>
            <w:r>
              <w:rPr>
                <w:noProof/>
              </w:rPr>
              <w:fldChar w:fldCharType="separate"/>
            </w:r>
            <w:r w:rsidR="00705D26">
              <w:rPr>
                <w:noProof/>
              </w:rPr>
              <w:t>45</w:t>
            </w:r>
            <w:r>
              <w:rPr>
                <w:noProof/>
              </w:rPr>
              <w:fldChar w:fldCharType="end"/>
            </w:r>
          </w:hyperlink>
        </w:p>
        <w:p w14:paraId="5DA51CF5" w14:textId="4194C39B" w:rsidR="002C26E2" w:rsidRDefault="00812CB4">
          <w:pPr>
            <w:pStyle w:val="TOC1"/>
            <w:tabs>
              <w:tab w:val="right" w:pos="9019"/>
            </w:tabs>
            <w:rPr>
              <w:noProof/>
            </w:rPr>
          </w:pPr>
          <w:hyperlink w:anchor="_Toc107584">
            <w:r>
              <w:rPr>
                <w:noProof/>
              </w:rPr>
              <w:t>6</w:t>
            </w:r>
            <w:r>
              <w:rPr>
                <w:b w:val="0"/>
                <w:noProof/>
                <w:color w:val="000000"/>
                <w:sz w:val="24"/>
              </w:rPr>
              <w:t xml:space="preserve">  </w:t>
            </w:r>
            <w:r>
              <w:rPr>
                <w:noProof/>
              </w:rPr>
              <w:t xml:space="preserve">HOURLY RATES </w:t>
            </w:r>
            <w:r>
              <w:rPr>
                <w:noProof/>
              </w:rPr>
              <w:t>–</w:t>
            </w:r>
            <w:r>
              <w:rPr>
                <w:noProof/>
              </w:rPr>
              <w:t xml:space="preserve"> BARRISTERS (EXCEPTIONAL </w:t>
            </w:r>
            <w:r>
              <w:rPr>
                <w:noProof/>
              </w:rPr>
              <w:tab/>
            </w:r>
            <w:r>
              <w:rPr>
                <w:noProof/>
              </w:rPr>
              <w:fldChar w:fldCharType="begin"/>
            </w:r>
            <w:r>
              <w:rPr>
                <w:noProof/>
              </w:rPr>
              <w:instrText>PAGEREF _Toc107584 \h</w:instrText>
            </w:r>
            <w:r>
              <w:rPr>
                <w:noProof/>
              </w:rPr>
            </w:r>
            <w:r>
              <w:rPr>
                <w:noProof/>
              </w:rPr>
              <w:fldChar w:fldCharType="separate"/>
            </w:r>
            <w:r w:rsidR="00705D26">
              <w:rPr>
                <w:noProof/>
              </w:rPr>
              <w:t>47</w:t>
            </w:r>
            <w:r>
              <w:rPr>
                <w:noProof/>
              </w:rPr>
              <w:fldChar w:fldCharType="end"/>
            </w:r>
          </w:hyperlink>
        </w:p>
        <w:p w14:paraId="2254C05E" w14:textId="1E380184" w:rsidR="002C26E2" w:rsidRDefault="00812CB4">
          <w:pPr>
            <w:pStyle w:val="TOC3"/>
            <w:tabs>
              <w:tab w:val="right" w:pos="9019"/>
            </w:tabs>
            <w:rPr>
              <w:noProof/>
            </w:rPr>
          </w:pPr>
          <w:hyperlink w:anchor="_Toc107585">
            <w:r>
              <w:rPr>
                <w:noProof/>
              </w:rPr>
              <w:t>PREPARATION AND CONSULTATIONS)</w:t>
            </w:r>
            <w:r>
              <w:rPr>
                <w:noProof/>
              </w:rPr>
              <w:tab/>
            </w:r>
            <w:r>
              <w:rPr>
                <w:noProof/>
              </w:rPr>
              <w:fldChar w:fldCharType="begin"/>
            </w:r>
            <w:r>
              <w:rPr>
                <w:noProof/>
              </w:rPr>
              <w:instrText>PAGEREF _Toc107585 \h</w:instrText>
            </w:r>
            <w:r>
              <w:rPr>
                <w:noProof/>
              </w:rPr>
            </w:r>
            <w:r>
              <w:rPr>
                <w:noProof/>
              </w:rPr>
              <w:fldChar w:fldCharType="separate"/>
            </w:r>
            <w:r w:rsidR="00705D26">
              <w:rPr>
                <w:noProof/>
              </w:rPr>
              <w:t>47</w:t>
            </w:r>
            <w:r>
              <w:rPr>
                <w:noProof/>
              </w:rPr>
              <w:fldChar w:fldCharType="end"/>
            </w:r>
          </w:hyperlink>
        </w:p>
        <w:p w14:paraId="28649610" w14:textId="1E4E69AF" w:rsidR="002C26E2" w:rsidRDefault="00812CB4">
          <w:pPr>
            <w:pStyle w:val="TOC2"/>
            <w:tabs>
              <w:tab w:val="right" w:pos="9019"/>
            </w:tabs>
            <w:rPr>
              <w:noProof/>
            </w:rPr>
          </w:pPr>
          <w:hyperlink w:anchor="_Toc107586">
            <w:r>
              <w:rPr>
                <w:noProof/>
              </w:rPr>
              <w:t>6.1</w:t>
            </w:r>
            <w:r>
              <w:rPr>
                <w:noProof/>
                <w:sz w:val="24"/>
              </w:rPr>
              <w:t xml:space="preserve">  </w:t>
            </w:r>
            <w:r>
              <w:rPr>
                <w:noProof/>
              </w:rPr>
              <w:t>Existing position and the CBA request</w:t>
            </w:r>
            <w:r>
              <w:rPr>
                <w:noProof/>
              </w:rPr>
              <w:tab/>
            </w:r>
            <w:r>
              <w:rPr>
                <w:noProof/>
              </w:rPr>
              <w:fldChar w:fldCharType="begin"/>
            </w:r>
            <w:r>
              <w:rPr>
                <w:noProof/>
              </w:rPr>
              <w:instrText>PAGEREF _Toc107586 \h</w:instrText>
            </w:r>
            <w:r>
              <w:rPr>
                <w:noProof/>
              </w:rPr>
            </w:r>
            <w:r>
              <w:rPr>
                <w:noProof/>
              </w:rPr>
              <w:fldChar w:fldCharType="separate"/>
            </w:r>
            <w:r w:rsidR="00705D26">
              <w:rPr>
                <w:noProof/>
              </w:rPr>
              <w:t>47</w:t>
            </w:r>
            <w:r>
              <w:rPr>
                <w:noProof/>
              </w:rPr>
              <w:fldChar w:fldCharType="end"/>
            </w:r>
          </w:hyperlink>
        </w:p>
        <w:p w14:paraId="35DDBB54" w14:textId="47EBD212" w:rsidR="002C26E2" w:rsidRDefault="00812CB4">
          <w:pPr>
            <w:pStyle w:val="TOC2"/>
            <w:tabs>
              <w:tab w:val="right" w:pos="9019"/>
            </w:tabs>
            <w:rPr>
              <w:noProof/>
            </w:rPr>
          </w:pPr>
          <w:hyperlink w:anchor="_Toc107587">
            <w:r>
              <w:rPr>
                <w:noProof/>
              </w:rPr>
              <w:t>6.2</w:t>
            </w:r>
            <w:r>
              <w:rPr>
                <w:noProof/>
                <w:sz w:val="24"/>
              </w:rPr>
              <w:t xml:space="preserve">  </w:t>
            </w:r>
            <w:r>
              <w:rPr>
                <w:noProof/>
              </w:rPr>
              <w:t>Principles and constraints applied by the Review Team</w:t>
            </w:r>
            <w:r>
              <w:rPr>
                <w:noProof/>
              </w:rPr>
              <w:tab/>
            </w:r>
            <w:r>
              <w:rPr>
                <w:noProof/>
              </w:rPr>
              <w:fldChar w:fldCharType="begin"/>
            </w:r>
            <w:r>
              <w:rPr>
                <w:noProof/>
              </w:rPr>
              <w:instrText>PAGEREF _Toc107587 \h</w:instrText>
            </w:r>
            <w:r>
              <w:rPr>
                <w:noProof/>
              </w:rPr>
            </w:r>
            <w:r>
              <w:rPr>
                <w:noProof/>
              </w:rPr>
              <w:fldChar w:fldCharType="separate"/>
            </w:r>
            <w:r w:rsidR="00705D26">
              <w:rPr>
                <w:noProof/>
              </w:rPr>
              <w:t>49</w:t>
            </w:r>
            <w:r>
              <w:rPr>
                <w:noProof/>
              </w:rPr>
              <w:fldChar w:fldCharType="end"/>
            </w:r>
          </w:hyperlink>
        </w:p>
        <w:p w14:paraId="1668655A" w14:textId="01645A44" w:rsidR="002C26E2" w:rsidRDefault="00812CB4">
          <w:pPr>
            <w:pStyle w:val="TOC2"/>
            <w:tabs>
              <w:tab w:val="right" w:pos="9019"/>
            </w:tabs>
            <w:rPr>
              <w:noProof/>
            </w:rPr>
          </w:pPr>
          <w:hyperlink w:anchor="_Toc107588">
            <w:r>
              <w:rPr>
                <w:noProof/>
              </w:rPr>
              <w:t>6.3</w:t>
            </w:r>
            <w:r>
              <w:rPr>
                <w:noProof/>
                <w:sz w:val="24"/>
              </w:rPr>
              <w:t xml:space="preserve">  </w:t>
            </w:r>
            <w:r>
              <w:rPr>
                <w:noProof/>
              </w:rPr>
              <w:t>Methodology used to derive an evidence-informed hourly rate</w:t>
            </w:r>
            <w:r>
              <w:rPr>
                <w:noProof/>
              </w:rPr>
              <w:tab/>
            </w:r>
            <w:r>
              <w:rPr>
                <w:noProof/>
              </w:rPr>
              <w:fldChar w:fldCharType="begin"/>
            </w:r>
            <w:r>
              <w:rPr>
                <w:noProof/>
              </w:rPr>
              <w:instrText>PAGEREF _Toc107588 \h</w:instrText>
            </w:r>
            <w:r>
              <w:rPr>
                <w:noProof/>
              </w:rPr>
            </w:r>
            <w:r>
              <w:rPr>
                <w:noProof/>
              </w:rPr>
              <w:fldChar w:fldCharType="separate"/>
            </w:r>
            <w:r w:rsidR="00705D26">
              <w:rPr>
                <w:noProof/>
              </w:rPr>
              <w:t>49</w:t>
            </w:r>
            <w:r>
              <w:rPr>
                <w:noProof/>
              </w:rPr>
              <w:fldChar w:fldCharType="end"/>
            </w:r>
          </w:hyperlink>
        </w:p>
        <w:p w14:paraId="3E04ED63" w14:textId="29C4738E" w:rsidR="002C26E2" w:rsidRDefault="00812CB4">
          <w:pPr>
            <w:pStyle w:val="TOC2"/>
            <w:tabs>
              <w:tab w:val="right" w:pos="9019"/>
            </w:tabs>
            <w:rPr>
              <w:noProof/>
            </w:rPr>
          </w:pPr>
          <w:hyperlink w:anchor="_Toc107589">
            <w:r>
              <w:rPr>
                <w:noProof/>
              </w:rPr>
              <w:t>6.4</w:t>
            </w:r>
            <w:r>
              <w:rPr>
                <w:noProof/>
                <w:sz w:val="24"/>
              </w:rPr>
              <w:t xml:space="preserve">  </w:t>
            </w:r>
            <w:r>
              <w:rPr>
                <w:noProof/>
              </w:rPr>
              <w:t>Conclusions from the analysis</w:t>
            </w:r>
            <w:r>
              <w:rPr>
                <w:noProof/>
              </w:rPr>
              <w:tab/>
            </w:r>
            <w:r>
              <w:rPr>
                <w:noProof/>
              </w:rPr>
              <w:fldChar w:fldCharType="begin"/>
            </w:r>
            <w:r>
              <w:rPr>
                <w:noProof/>
              </w:rPr>
              <w:instrText>PAGEREF _Toc107589 \h</w:instrText>
            </w:r>
            <w:r>
              <w:rPr>
                <w:noProof/>
              </w:rPr>
            </w:r>
            <w:r>
              <w:rPr>
                <w:noProof/>
              </w:rPr>
              <w:fldChar w:fldCharType="separate"/>
            </w:r>
            <w:r w:rsidR="00705D26">
              <w:rPr>
                <w:noProof/>
              </w:rPr>
              <w:t>56</w:t>
            </w:r>
            <w:r>
              <w:rPr>
                <w:noProof/>
              </w:rPr>
              <w:fldChar w:fldCharType="end"/>
            </w:r>
          </w:hyperlink>
        </w:p>
        <w:p w14:paraId="5E13B193" w14:textId="23D2BEC8" w:rsidR="002C26E2" w:rsidRDefault="00812CB4">
          <w:pPr>
            <w:pStyle w:val="TOC2"/>
            <w:tabs>
              <w:tab w:val="right" w:pos="9019"/>
            </w:tabs>
            <w:rPr>
              <w:noProof/>
            </w:rPr>
          </w:pPr>
          <w:hyperlink w:anchor="_Toc107590">
            <w:r>
              <w:rPr>
                <w:noProof/>
              </w:rPr>
              <w:t>6.5</w:t>
            </w:r>
            <w:r>
              <w:rPr>
                <w:noProof/>
                <w:sz w:val="24"/>
              </w:rPr>
              <w:t xml:space="preserve">  </w:t>
            </w:r>
            <w:r>
              <w:rPr>
                <w:noProof/>
              </w:rPr>
              <w:t xml:space="preserve">Recommendations (Barristers </w:t>
            </w:r>
            <w:r>
              <w:rPr>
                <w:noProof/>
              </w:rPr>
              <w:t>–</w:t>
            </w:r>
            <w:r>
              <w:rPr>
                <w:noProof/>
              </w:rPr>
              <w:t xml:space="preserve"> EP hourly rates)</w:t>
            </w:r>
            <w:r>
              <w:rPr>
                <w:noProof/>
              </w:rPr>
              <w:tab/>
            </w:r>
            <w:r>
              <w:rPr>
                <w:noProof/>
              </w:rPr>
              <w:fldChar w:fldCharType="begin"/>
            </w:r>
            <w:r>
              <w:rPr>
                <w:noProof/>
              </w:rPr>
              <w:instrText>PAGEREF _Toc107590 \h</w:instrText>
            </w:r>
            <w:r>
              <w:rPr>
                <w:noProof/>
              </w:rPr>
            </w:r>
            <w:r>
              <w:rPr>
                <w:noProof/>
              </w:rPr>
              <w:fldChar w:fldCharType="separate"/>
            </w:r>
            <w:r w:rsidR="00705D26">
              <w:rPr>
                <w:noProof/>
              </w:rPr>
              <w:t>56</w:t>
            </w:r>
            <w:r>
              <w:rPr>
                <w:noProof/>
              </w:rPr>
              <w:fldChar w:fldCharType="end"/>
            </w:r>
          </w:hyperlink>
        </w:p>
        <w:p w14:paraId="3490409A" w14:textId="47DD53C4" w:rsidR="002C26E2" w:rsidRDefault="00812CB4">
          <w:pPr>
            <w:pStyle w:val="TOC1"/>
            <w:tabs>
              <w:tab w:val="right" w:pos="9019"/>
            </w:tabs>
            <w:rPr>
              <w:noProof/>
            </w:rPr>
          </w:pPr>
          <w:hyperlink w:anchor="_Toc107591">
            <w:r>
              <w:rPr>
                <w:noProof/>
              </w:rPr>
              <w:t>7</w:t>
            </w:r>
            <w:r>
              <w:rPr>
                <w:b w:val="0"/>
                <w:noProof/>
                <w:color w:val="000000"/>
                <w:sz w:val="24"/>
              </w:rPr>
              <w:t xml:space="preserve">  </w:t>
            </w:r>
            <w:r>
              <w:rPr>
                <w:noProof/>
              </w:rPr>
              <w:t xml:space="preserve">HOURLY RATES </w:t>
            </w:r>
            <w:r>
              <w:rPr>
                <w:noProof/>
              </w:rPr>
              <w:t>–</w:t>
            </w:r>
            <w:r>
              <w:rPr>
                <w:noProof/>
              </w:rPr>
              <w:t xml:space="preserve"> SOLICITORS (EXCEPTIONAL </w:t>
            </w:r>
            <w:r>
              <w:rPr>
                <w:noProof/>
              </w:rPr>
              <w:tab/>
            </w:r>
            <w:r>
              <w:rPr>
                <w:noProof/>
              </w:rPr>
              <w:fldChar w:fldCharType="begin"/>
            </w:r>
            <w:r>
              <w:rPr>
                <w:noProof/>
              </w:rPr>
              <w:instrText>PAGEREF _Toc107591 \h</w:instrText>
            </w:r>
            <w:r>
              <w:rPr>
                <w:noProof/>
              </w:rPr>
            </w:r>
            <w:r>
              <w:rPr>
                <w:noProof/>
              </w:rPr>
              <w:fldChar w:fldCharType="separate"/>
            </w:r>
            <w:r w:rsidR="00705D26">
              <w:rPr>
                <w:noProof/>
              </w:rPr>
              <w:t>58</w:t>
            </w:r>
            <w:r>
              <w:rPr>
                <w:noProof/>
              </w:rPr>
              <w:fldChar w:fldCharType="end"/>
            </w:r>
          </w:hyperlink>
        </w:p>
        <w:p w14:paraId="1D0B1283" w14:textId="7C9AE6AB" w:rsidR="002C26E2" w:rsidRDefault="00812CB4">
          <w:pPr>
            <w:pStyle w:val="TOC3"/>
            <w:tabs>
              <w:tab w:val="right" w:pos="9019"/>
            </w:tabs>
            <w:rPr>
              <w:noProof/>
            </w:rPr>
          </w:pPr>
          <w:hyperlink w:anchor="_Toc107592">
            <w:r>
              <w:rPr>
                <w:noProof/>
              </w:rPr>
              <w:t>PREPARATION)</w:t>
            </w:r>
            <w:r>
              <w:rPr>
                <w:noProof/>
              </w:rPr>
              <w:tab/>
            </w:r>
            <w:r>
              <w:rPr>
                <w:noProof/>
              </w:rPr>
              <w:fldChar w:fldCharType="begin"/>
            </w:r>
            <w:r>
              <w:rPr>
                <w:noProof/>
              </w:rPr>
              <w:instrText>PAGEREF _Toc107592 \h</w:instrText>
            </w:r>
            <w:r>
              <w:rPr>
                <w:noProof/>
              </w:rPr>
            </w:r>
            <w:r>
              <w:rPr>
                <w:noProof/>
              </w:rPr>
              <w:fldChar w:fldCharType="separate"/>
            </w:r>
            <w:r w:rsidR="00705D26">
              <w:rPr>
                <w:noProof/>
              </w:rPr>
              <w:t>58</w:t>
            </w:r>
            <w:r>
              <w:rPr>
                <w:noProof/>
              </w:rPr>
              <w:fldChar w:fldCharType="end"/>
            </w:r>
          </w:hyperlink>
        </w:p>
        <w:p w14:paraId="4CD1F8C4" w14:textId="7C235C5E" w:rsidR="002C26E2" w:rsidRDefault="00812CB4">
          <w:pPr>
            <w:pStyle w:val="TOC2"/>
            <w:tabs>
              <w:tab w:val="right" w:pos="9019"/>
            </w:tabs>
            <w:rPr>
              <w:noProof/>
            </w:rPr>
          </w:pPr>
          <w:hyperlink w:anchor="_Toc107593">
            <w:r>
              <w:rPr>
                <w:noProof/>
              </w:rPr>
              <w:t>7.1</w:t>
            </w:r>
            <w:r>
              <w:rPr>
                <w:noProof/>
                <w:sz w:val="24"/>
              </w:rPr>
              <w:t xml:space="preserve">  </w:t>
            </w:r>
            <w:r>
              <w:rPr>
                <w:noProof/>
              </w:rPr>
              <w:t>Existing position</w:t>
            </w:r>
            <w:r>
              <w:rPr>
                <w:noProof/>
              </w:rPr>
              <w:tab/>
            </w:r>
            <w:r>
              <w:rPr>
                <w:noProof/>
              </w:rPr>
              <w:fldChar w:fldCharType="begin"/>
            </w:r>
            <w:r>
              <w:rPr>
                <w:noProof/>
              </w:rPr>
              <w:instrText>PAGEREF _Toc107593 \h</w:instrText>
            </w:r>
            <w:r>
              <w:rPr>
                <w:noProof/>
              </w:rPr>
            </w:r>
            <w:r>
              <w:rPr>
                <w:noProof/>
              </w:rPr>
              <w:fldChar w:fldCharType="separate"/>
            </w:r>
            <w:r w:rsidR="00705D26">
              <w:rPr>
                <w:noProof/>
              </w:rPr>
              <w:t>58</w:t>
            </w:r>
            <w:r>
              <w:rPr>
                <w:noProof/>
              </w:rPr>
              <w:fldChar w:fldCharType="end"/>
            </w:r>
          </w:hyperlink>
        </w:p>
        <w:p w14:paraId="2E41547E" w14:textId="2CCE0BEF" w:rsidR="002C26E2" w:rsidRDefault="00812CB4">
          <w:pPr>
            <w:pStyle w:val="TOC2"/>
            <w:tabs>
              <w:tab w:val="right" w:pos="9019"/>
            </w:tabs>
            <w:rPr>
              <w:noProof/>
            </w:rPr>
          </w:pPr>
          <w:hyperlink w:anchor="_Toc107594">
            <w:r>
              <w:rPr>
                <w:noProof/>
              </w:rPr>
              <w:t>7.2</w:t>
            </w:r>
            <w:r>
              <w:rPr>
                <w:noProof/>
                <w:sz w:val="24"/>
              </w:rPr>
              <w:t xml:space="preserve">  </w:t>
            </w:r>
            <w:r>
              <w:rPr>
                <w:noProof/>
              </w:rPr>
              <w:t>Evidence considered</w:t>
            </w:r>
            <w:r>
              <w:rPr>
                <w:noProof/>
              </w:rPr>
              <w:tab/>
            </w:r>
            <w:r>
              <w:rPr>
                <w:noProof/>
              </w:rPr>
              <w:fldChar w:fldCharType="begin"/>
            </w:r>
            <w:r>
              <w:rPr>
                <w:noProof/>
              </w:rPr>
              <w:instrText>PAGEREF _Toc107594 \h</w:instrText>
            </w:r>
            <w:r>
              <w:rPr>
                <w:noProof/>
              </w:rPr>
            </w:r>
            <w:r>
              <w:rPr>
                <w:noProof/>
              </w:rPr>
              <w:fldChar w:fldCharType="separate"/>
            </w:r>
            <w:r w:rsidR="00705D26">
              <w:rPr>
                <w:noProof/>
              </w:rPr>
              <w:t>58</w:t>
            </w:r>
            <w:r>
              <w:rPr>
                <w:noProof/>
              </w:rPr>
              <w:fldChar w:fldCharType="end"/>
            </w:r>
          </w:hyperlink>
        </w:p>
        <w:p w14:paraId="1B531EB9" w14:textId="3343CF78" w:rsidR="002C26E2" w:rsidRDefault="00812CB4">
          <w:pPr>
            <w:pStyle w:val="TOC2"/>
            <w:tabs>
              <w:tab w:val="right" w:pos="9019"/>
            </w:tabs>
            <w:rPr>
              <w:noProof/>
            </w:rPr>
          </w:pPr>
          <w:hyperlink w:anchor="_Toc107595">
            <w:r>
              <w:rPr>
                <w:noProof/>
              </w:rPr>
              <w:t>7.3</w:t>
            </w:r>
            <w:r>
              <w:rPr>
                <w:noProof/>
                <w:sz w:val="24"/>
              </w:rPr>
              <w:t xml:space="preserve">  </w:t>
            </w:r>
            <w:r>
              <w:rPr>
                <w:noProof/>
              </w:rPr>
              <w:t>Requests made in the Submissions</w:t>
            </w:r>
            <w:r>
              <w:rPr>
                <w:noProof/>
              </w:rPr>
              <w:tab/>
            </w:r>
            <w:r>
              <w:rPr>
                <w:noProof/>
              </w:rPr>
              <w:fldChar w:fldCharType="begin"/>
            </w:r>
            <w:r>
              <w:rPr>
                <w:noProof/>
              </w:rPr>
              <w:instrText>PAGEREF _Toc107595 \h</w:instrText>
            </w:r>
            <w:r>
              <w:rPr>
                <w:noProof/>
              </w:rPr>
            </w:r>
            <w:r>
              <w:rPr>
                <w:noProof/>
              </w:rPr>
              <w:fldChar w:fldCharType="separate"/>
            </w:r>
            <w:r w:rsidR="00705D26">
              <w:rPr>
                <w:noProof/>
              </w:rPr>
              <w:t>60</w:t>
            </w:r>
            <w:r>
              <w:rPr>
                <w:noProof/>
              </w:rPr>
              <w:fldChar w:fldCharType="end"/>
            </w:r>
          </w:hyperlink>
        </w:p>
        <w:p w14:paraId="5ECE547B" w14:textId="48B1EAFF" w:rsidR="002C26E2" w:rsidRDefault="00812CB4">
          <w:pPr>
            <w:pStyle w:val="TOC2"/>
            <w:tabs>
              <w:tab w:val="right" w:pos="9019"/>
            </w:tabs>
            <w:rPr>
              <w:noProof/>
            </w:rPr>
          </w:pPr>
          <w:hyperlink w:anchor="_Toc107596">
            <w:r>
              <w:rPr>
                <w:noProof/>
              </w:rPr>
              <w:t>7.4</w:t>
            </w:r>
            <w:r>
              <w:rPr>
                <w:noProof/>
                <w:sz w:val="24"/>
              </w:rPr>
              <w:t xml:space="preserve">  </w:t>
            </w:r>
            <w:r>
              <w:rPr>
                <w:noProof/>
              </w:rPr>
              <w:t>Review Team methodology</w:t>
            </w:r>
            <w:r>
              <w:rPr>
                <w:noProof/>
              </w:rPr>
              <w:tab/>
            </w:r>
            <w:r>
              <w:rPr>
                <w:noProof/>
              </w:rPr>
              <w:fldChar w:fldCharType="begin"/>
            </w:r>
            <w:r>
              <w:rPr>
                <w:noProof/>
              </w:rPr>
              <w:instrText>PAGEREF _Toc107596 \h</w:instrText>
            </w:r>
            <w:r>
              <w:rPr>
                <w:noProof/>
              </w:rPr>
            </w:r>
            <w:r>
              <w:rPr>
                <w:noProof/>
              </w:rPr>
              <w:fldChar w:fldCharType="separate"/>
            </w:r>
            <w:r w:rsidR="00705D26">
              <w:rPr>
                <w:noProof/>
              </w:rPr>
              <w:t>60</w:t>
            </w:r>
            <w:r>
              <w:rPr>
                <w:noProof/>
              </w:rPr>
              <w:fldChar w:fldCharType="end"/>
            </w:r>
          </w:hyperlink>
        </w:p>
        <w:p w14:paraId="2C8BD225" w14:textId="1713C640" w:rsidR="002C26E2" w:rsidRDefault="00812CB4">
          <w:pPr>
            <w:pStyle w:val="TOC2"/>
            <w:tabs>
              <w:tab w:val="right" w:pos="9019"/>
            </w:tabs>
            <w:rPr>
              <w:noProof/>
            </w:rPr>
          </w:pPr>
          <w:hyperlink w:anchor="_Toc107597">
            <w:r>
              <w:rPr>
                <w:noProof/>
              </w:rPr>
              <w:t>7.5</w:t>
            </w:r>
            <w:r>
              <w:rPr>
                <w:noProof/>
                <w:sz w:val="24"/>
              </w:rPr>
              <w:t xml:space="preserve">  </w:t>
            </w:r>
            <w:r>
              <w:rPr>
                <w:noProof/>
              </w:rPr>
              <w:t>Conclusions on solicitor hourly rates</w:t>
            </w:r>
            <w:r>
              <w:rPr>
                <w:noProof/>
              </w:rPr>
              <w:tab/>
            </w:r>
            <w:r>
              <w:rPr>
                <w:noProof/>
              </w:rPr>
              <w:fldChar w:fldCharType="begin"/>
            </w:r>
            <w:r>
              <w:rPr>
                <w:noProof/>
              </w:rPr>
              <w:instrText>PAGEREF _Toc107597 \h</w:instrText>
            </w:r>
            <w:r>
              <w:rPr>
                <w:noProof/>
              </w:rPr>
            </w:r>
            <w:r>
              <w:rPr>
                <w:noProof/>
              </w:rPr>
              <w:fldChar w:fldCharType="separate"/>
            </w:r>
            <w:r w:rsidR="00705D26">
              <w:rPr>
                <w:noProof/>
              </w:rPr>
              <w:t>62</w:t>
            </w:r>
            <w:r>
              <w:rPr>
                <w:noProof/>
              </w:rPr>
              <w:fldChar w:fldCharType="end"/>
            </w:r>
          </w:hyperlink>
        </w:p>
        <w:p w14:paraId="0B0998A8" w14:textId="348FF69F" w:rsidR="002C26E2" w:rsidRDefault="00812CB4">
          <w:pPr>
            <w:pStyle w:val="TOC2"/>
            <w:tabs>
              <w:tab w:val="right" w:pos="9019"/>
            </w:tabs>
            <w:rPr>
              <w:noProof/>
            </w:rPr>
          </w:pPr>
          <w:hyperlink w:anchor="_Toc107598">
            <w:r>
              <w:rPr>
                <w:noProof/>
              </w:rPr>
              <w:t>7.6</w:t>
            </w:r>
            <w:r>
              <w:rPr>
                <w:noProof/>
                <w:sz w:val="24"/>
              </w:rPr>
              <w:t xml:space="preserve">  </w:t>
            </w:r>
            <w:r>
              <w:rPr>
                <w:noProof/>
              </w:rPr>
              <w:t>Recommendations: Solicitors (Exceptional Preparation)</w:t>
            </w:r>
            <w:r>
              <w:rPr>
                <w:noProof/>
              </w:rPr>
              <w:tab/>
            </w:r>
            <w:r>
              <w:rPr>
                <w:noProof/>
              </w:rPr>
              <w:fldChar w:fldCharType="begin"/>
            </w:r>
            <w:r>
              <w:rPr>
                <w:noProof/>
              </w:rPr>
              <w:instrText>PAGEREF _Toc107598 \h</w:instrText>
            </w:r>
            <w:r>
              <w:rPr>
                <w:noProof/>
              </w:rPr>
            </w:r>
            <w:r>
              <w:rPr>
                <w:noProof/>
              </w:rPr>
              <w:fldChar w:fldCharType="separate"/>
            </w:r>
            <w:r w:rsidR="00705D26">
              <w:rPr>
                <w:noProof/>
              </w:rPr>
              <w:t>62</w:t>
            </w:r>
            <w:r>
              <w:rPr>
                <w:noProof/>
              </w:rPr>
              <w:fldChar w:fldCharType="end"/>
            </w:r>
          </w:hyperlink>
        </w:p>
        <w:p w14:paraId="0A3215E3" w14:textId="7E0D842B" w:rsidR="002C26E2" w:rsidRDefault="00812CB4">
          <w:pPr>
            <w:pStyle w:val="TOC1"/>
            <w:tabs>
              <w:tab w:val="right" w:pos="9019"/>
            </w:tabs>
            <w:rPr>
              <w:noProof/>
            </w:rPr>
          </w:pPr>
          <w:hyperlink w:anchor="_Toc107599">
            <w:r>
              <w:rPr>
                <w:noProof/>
              </w:rPr>
              <w:t>8</w:t>
            </w:r>
            <w:r>
              <w:rPr>
                <w:b w:val="0"/>
                <w:noProof/>
                <w:color w:val="000000"/>
                <w:sz w:val="24"/>
              </w:rPr>
              <w:t xml:space="preserve">  </w:t>
            </w:r>
            <w:r>
              <w:rPr>
                <w:noProof/>
              </w:rPr>
              <w:t>SKELETON SENTENCING ARGUMENTS</w:t>
            </w:r>
            <w:r>
              <w:rPr>
                <w:noProof/>
              </w:rPr>
              <w:tab/>
            </w:r>
            <w:r>
              <w:rPr>
                <w:noProof/>
              </w:rPr>
              <w:fldChar w:fldCharType="begin"/>
            </w:r>
            <w:r>
              <w:rPr>
                <w:noProof/>
              </w:rPr>
              <w:instrText>PAGEREF _Toc107599 \h</w:instrText>
            </w:r>
            <w:r>
              <w:rPr>
                <w:noProof/>
              </w:rPr>
            </w:r>
            <w:r>
              <w:rPr>
                <w:noProof/>
              </w:rPr>
              <w:fldChar w:fldCharType="separate"/>
            </w:r>
            <w:r w:rsidR="00705D26">
              <w:rPr>
                <w:noProof/>
              </w:rPr>
              <w:t>64</w:t>
            </w:r>
            <w:r>
              <w:rPr>
                <w:noProof/>
              </w:rPr>
              <w:fldChar w:fldCharType="end"/>
            </w:r>
          </w:hyperlink>
        </w:p>
        <w:p w14:paraId="3E7E696D" w14:textId="44385435" w:rsidR="002C26E2" w:rsidRDefault="00812CB4">
          <w:pPr>
            <w:pStyle w:val="TOC2"/>
            <w:tabs>
              <w:tab w:val="right" w:pos="9019"/>
            </w:tabs>
            <w:rPr>
              <w:noProof/>
            </w:rPr>
          </w:pPr>
          <w:hyperlink w:anchor="_Toc107600">
            <w:r>
              <w:rPr>
                <w:noProof/>
              </w:rPr>
              <w:t>8.1</w:t>
            </w:r>
            <w:r>
              <w:rPr>
                <w:noProof/>
                <w:sz w:val="24"/>
              </w:rPr>
              <w:t xml:space="preserve">  </w:t>
            </w:r>
            <w:r>
              <w:rPr>
                <w:noProof/>
              </w:rPr>
              <w:t>Existing position</w:t>
            </w:r>
            <w:r>
              <w:rPr>
                <w:noProof/>
              </w:rPr>
              <w:tab/>
            </w:r>
            <w:r>
              <w:rPr>
                <w:noProof/>
              </w:rPr>
              <w:fldChar w:fldCharType="begin"/>
            </w:r>
            <w:r>
              <w:rPr>
                <w:noProof/>
              </w:rPr>
              <w:instrText>PAGEREF _Toc107600 \h</w:instrText>
            </w:r>
            <w:r>
              <w:rPr>
                <w:noProof/>
              </w:rPr>
            </w:r>
            <w:r>
              <w:rPr>
                <w:noProof/>
              </w:rPr>
              <w:fldChar w:fldCharType="separate"/>
            </w:r>
            <w:r w:rsidR="00705D26">
              <w:rPr>
                <w:noProof/>
              </w:rPr>
              <w:t>64</w:t>
            </w:r>
            <w:r>
              <w:rPr>
                <w:noProof/>
              </w:rPr>
              <w:fldChar w:fldCharType="end"/>
            </w:r>
          </w:hyperlink>
        </w:p>
        <w:p w14:paraId="129F4AC6" w14:textId="5B376F4B" w:rsidR="002C26E2" w:rsidRDefault="00812CB4">
          <w:pPr>
            <w:pStyle w:val="TOC2"/>
            <w:tabs>
              <w:tab w:val="right" w:pos="9019"/>
            </w:tabs>
            <w:rPr>
              <w:noProof/>
            </w:rPr>
          </w:pPr>
          <w:hyperlink w:anchor="_Toc107601">
            <w:r>
              <w:rPr>
                <w:noProof/>
              </w:rPr>
              <w:t>8.2</w:t>
            </w:r>
            <w:r>
              <w:rPr>
                <w:noProof/>
                <w:sz w:val="24"/>
              </w:rPr>
              <w:t xml:space="preserve">  </w:t>
            </w:r>
            <w:r>
              <w:rPr>
                <w:noProof/>
              </w:rPr>
              <w:t>Requests made in the Submissions</w:t>
            </w:r>
            <w:r>
              <w:rPr>
                <w:noProof/>
              </w:rPr>
              <w:tab/>
            </w:r>
            <w:r>
              <w:rPr>
                <w:noProof/>
              </w:rPr>
              <w:fldChar w:fldCharType="begin"/>
            </w:r>
            <w:r>
              <w:rPr>
                <w:noProof/>
              </w:rPr>
              <w:instrText>PAGEREF _Toc107601 \h</w:instrText>
            </w:r>
            <w:r>
              <w:rPr>
                <w:noProof/>
              </w:rPr>
            </w:r>
            <w:r>
              <w:rPr>
                <w:noProof/>
              </w:rPr>
              <w:fldChar w:fldCharType="separate"/>
            </w:r>
            <w:r w:rsidR="00705D26">
              <w:rPr>
                <w:noProof/>
              </w:rPr>
              <w:t>65</w:t>
            </w:r>
            <w:r>
              <w:rPr>
                <w:noProof/>
              </w:rPr>
              <w:fldChar w:fldCharType="end"/>
            </w:r>
          </w:hyperlink>
        </w:p>
        <w:p w14:paraId="04044F0C" w14:textId="644EAD2B" w:rsidR="002C26E2" w:rsidRDefault="00812CB4">
          <w:pPr>
            <w:pStyle w:val="TOC2"/>
            <w:tabs>
              <w:tab w:val="right" w:pos="9019"/>
            </w:tabs>
            <w:rPr>
              <w:noProof/>
            </w:rPr>
          </w:pPr>
          <w:hyperlink w:anchor="_Toc107602">
            <w:r>
              <w:rPr>
                <w:noProof/>
              </w:rPr>
              <w:t>8.3</w:t>
            </w:r>
            <w:r>
              <w:rPr>
                <w:noProof/>
                <w:sz w:val="24"/>
              </w:rPr>
              <w:t xml:space="preserve">  </w:t>
            </w:r>
            <w:r>
              <w:rPr>
                <w:noProof/>
              </w:rPr>
              <w:t>Assessment of the evidence</w:t>
            </w:r>
            <w:r>
              <w:rPr>
                <w:noProof/>
              </w:rPr>
              <w:tab/>
            </w:r>
            <w:r>
              <w:rPr>
                <w:noProof/>
              </w:rPr>
              <w:fldChar w:fldCharType="begin"/>
            </w:r>
            <w:r>
              <w:rPr>
                <w:noProof/>
              </w:rPr>
              <w:instrText>PAGEREF _Toc107602 \h</w:instrText>
            </w:r>
            <w:r>
              <w:rPr>
                <w:noProof/>
              </w:rPr>
            </w:r>
            <w:r>
              <w:rPr>
                <w:noProof/>
              </w:rPr>
              <w:fldChar w:fldCharType="separate"/>
            </w:r>
            <w:r w:rsidR="00705D26">
              <w:rPr>
                <w:noProof/>
              </w:rPr>
              <w:t>66</w:t>
            </w:r>
            <w:r>
              <w:rPr>
                <w:noProof/>
              </w:rPr>
              <w:fldChar w:fldCharType="end"/>
            </w:r>
          </w:hyperlink>
        </w:p>
        <w:p w14:paraId="34592CEB" w14:textId="3C5F2AE6" w:rsidR="002C26E2" w:rsidRDefault="00812CB4">
          <w:pPr>
            <w:pStyle w:val="TOC2"/>
            <w:tabs>
              <w:tab w:val="right" w:pos="9019"/>
            </w:tabs>
            <w:rPr>
              <w:noProof/>
            </w:rPr>
          </w:pPr>
          <w:hyperlink w:anchor="_Toc107603">
            <w:r>
              <w:rPr>
                <w:noProof/>
              </w:rPr>
              <w:t>8.4</w:t>
            </w:r>
            <w:r>
              <w:rPr>
                <w:noProof/>
                <w:sz w:val="24"/>
              </w:rPr>
              <w:t xml:space="preserve">  </w:t>
            </w:r>
            <w:r>
              <w:rPr>
                <w:noProof/>
              </w:rPr>
              <w:t>Conclusions on sentencing skeleton arguments</w:t>
            </w:r>
            <w:r>
              <w:rPr>
                <w:noProof/>
              </w:rPr>
              <w:tab/>
            </w:r>
            <w:r>
              <w:rPr>
                <w:noProof/>
              </w:rPr>
              <w:fldChar w:fldCharType="begin"/>
            </w:r>
            <w:r>
              <w:rPr>
                <w:noProof/>
              </w:rPr>
              <w:instrText>PAGEREF _Toc107603 \h</w:instrText>
            </w:r>
            <w:r>
              <w:rPr>
                <w:noProof/>
              </w:rPr>
            </w:r>
            <w:r>
              <w:rPr>
                <w:noProof/>
              </w:rPr>
              <w:fldChar w:fldCharType="separate"/>
            </w:r>
            <w:r w:rsidR="00705D26">
              <w:rPr>
                <w:noProof/>
              </w:rPr>
              <w:t>66</w:t>
            </w:r>
            <w:r>
              <w:rPr>
                <w:noProof/>
              </w:rPr>
              <w:fldChar w:fldCharType="end"/>
            </w:r>
          </w:hyperlink>
        </w:p>
        <w:p w14:paraId="5C1CF7A1" w14:textId="7C970331" w:rsidR="002C26E2" w:rsidRDefault="00812CB4">
          <w:pPr>
            <w:pStyle w:val="TOC2"/>
            <w:tabs>
              <w:tab w:val="right" w:pos="9019"/>
            </w:tabs>
            <w:rPr>
              <w:noProof/>
            </w:rPr>
          </w:pPr>
          <w:hyperlink w:anchor="_Toc107604">
            <w:r>
              <w:rPr>
                <w:noProof/>
              </w:rPr>
              <w:t>8.5</w:t>
            </w:r>
            <w:r>
              <w:rPr>
                <w:noProof/>
                <w:sz w:val="24"/>
              </w:rPr>
              <w:t xml:space="preserve">  </w:t>
            </w:r>
            <w:r>
              <w:rPr>
                <w:noProof/>
              </w:rPr>
              <w:t>Recommendation: Skeleton Arguments</w:t>
            </w:r>
            <w:r>
              <w:rPr>
                <w:noProof/>
              </w:rPr>
              <w:tab/>
            </w:r>
            <w:r>
              <w:rPr>
                <w:noProof/>
              </w:rPr>
              <w:fldChar w:fldCharType="begin"/>
            </w:r>
            <w:r>
              <w:rPr>
                <w:noProof/>
              </w:rPr>
              <w:instrText>PAGEREF _Toc107604 \h</w:instrText>
            </w:r>
            <w:r>
              <w:rPr>
                <w:noProof/>
              </w:rPr>
            </w:r>
            <w:r>
              <w:rPr>
                <w:noProof/>
              </w:rPr>
              <w:fldChar w:fldCharType="separate"/>
            </w:r>
            <w:r w:rsidR="00705D26">
              <w:rPr>
                <w:noProof/>
              </w:rPr>
              <w:t>67</w:t>
            </w:r>
            <w:r>
              <w:rPr>
                <w:noProof/>
              </w:rPr>
              <w:fldChar w:fldCharType="end"/>
            </w:r>
          </w:hyperlink>
        </w:p>
        <w:p w14:paraId="5E54C789" w14:textId="03B68633" w:rsidR="002C26E2" w:rsidRDefault="00812CB4">
          <w:pPr>
            <w:pStyle w:val="TOC1"/>
            <w:tabs>
              <w:tab w:val="right" w:pos="9019"/>
            </w:tabs>
            <w:rPr>
              <w:noProof/>
            </w:rPr>
          </w:pPr>
          <w:hyperlink w:anchor="_Toc107605">
            <w:r>
              <w:rPr>
                <w:noProof/>
              </w:rPr>
              <w:t>9</w:t>
            </w:r>
            <w:r>
              <w:rPr>
                <w:b w:val="0"/>
                <w:noProof/>
                <w:color w:val="000000"/>
                <w:sz w:val="24"/>
              </w:rPr>
              <w:t xml:space="preserve">  </w:t>
            </w:r>
            <w:r>
              <w:rPr>
                <w:noProof/>
              </w:rPr>
              <w:t>CONSULTATIONS</w:t>
            </w:r>
            <w:r>
              <w:rPr>
                <w:noProof/>
              </w:rPr>
              <w:tab/>
            </w:r>
            <w:r>
              <w:rPr>
                <w:noProof/>
              </w:rPr>
              <w:fldChar w:fldCharType="begin"/>
            </w:r>
            <w:r>
              <w:rPr>
                <w:noProof/>
              </w:rPr>
              <w:instrText>PAGEREF _Toc107605 \h</w:instrText>
            </w:r>
            <w:r>
              <w:rPr>
                <w:noProof/>
              </w:rPr>
            </w:r>
            <w:r>
              <w:rPr>
                <w:noProof/>
              </w:rPr>
              <w:fldChar w:fldCharType="separate"/>
            </w:r>
            <w:r w:rsidR="00705D26">
              <w:rPr>
                <w:noProof/>
              </w:rPr>
              <w:t>68</w:t>
            </w:r>
            <w:r>
              <w:rPr>
                <w:noProof/>
              </w:rPr>
              <w:fldChar w:fldCharType="end"/>
            </w:r>
          </w:hyperlink>
        </w:p>
        <w:p w14:paraId="7577A9C2" w14:textId="1C3F8038" w:rsidR="002C26E2" w:rsidRDefault="00812CB4">
          <w:pPr>
            <w:pStyle w:val="TOC2"/>
            <w:tabs>
              <w:tab w:val="right" w:pos="9019"/>
            </w:tabs>
            <w:rPr>
              <w:noProof/>
            </w:rPr>
          </w:pPr>
          <w:hyperlink w:anchor="_Toc107606">
            <w:r>
              <w:rPr>
                <w:noProof/>
              </w:rPr>
              <w:t>9.1</w:t>
            </w:r>
            <w:r>
              <w:rPr>
                <w:noProof/>
                <w:sz w:val="24"/>
              </w:rPr>
              <w:t xml:space="preserve">  </w:t>
            </w:r>
            <w:r>
              <w:rPr>
                <w:noProof/>
              </w:rPr>
              <w:t>Existing position</w:t>
            </w:r>
            <w:r>
              <w:rPr>
                <w:noProof/>
              </w:rPr>
              <w:tab/>
            </w:r>
            <w:r>
              <w:rPr>
                <w:noProof/>
              </w:rPr>
              <w:fldChar w:fldCharType="begin"/>
            </w:r>
            <w:r>
              <w:rPr>
                <w:noProof/>
              </w:rPr>
              <w:instrText>PAGEREF _Toc107606 \h</w:instrText>
            </w:r>
            <w:r>
              <w:rPr>
                <w:noProof/>
              </w:rPr>
            </w:r>
            <w:r>
              <w:rPr>
                <w:noProof/>
              </w:rPr>
              <w:fldChar w:fldCharType="separate"/>
            </w:r>
            <w:r w:rsidR="00705D26">
              <w:rPr>
                <w:noProof/>
              </w:rPr>
              <w:t>68</w:t>
            </w:r>
            <w:r>
              <w:rPr>
                <w:noProof/>
              </w:rPr>
              <w:fldChar w:fldCharType="end"/>
            </w:r>
          </w:hyperlink>
        </w:p>
        <w:p w14:paraId="0AB87343" w14:textId="237E3ABF" w:rsidR="002C26E2" w:rsidRDefault="00812CB4">
          <w:pPr>
            <w:pStyle w:val="TOC2"/>
            <w:tabs>
              <w:tab w:val="right" w:pos="9019"/>
            </w:tabs>
            <w:rPr>
              <w:noProof/>
            </w:rPr>
          </w:pPr>
          <w:hyperlink w:anchor="_Toc107607">
            <w:r>
              <w:rPr>
                <w:noProof/>
              </w:rPr>
              <w:t>9.2</w:t>
            </w:r>
            <w:r>
              <w:rPr>
                <w:noProof/>
                <w:sz w:val="24"/>
              </w:rPr>
              <w:t xml:space="preserve">  </w:t>
            </w:r>
            <w:r>
              <w:rPr>
                <w:noProof/>
              </w:rPr>
              <w:t>Requests made in the Submissions</w:t>
            </w:r>
            <w:r>
              <w:rPr>
                <w:noProof/>
              </w:rPr>
              <w:tab/>
            </w:r>
            <w:r>
              <w:rPr>
                <w:noProof/>
              </w:rPr>
              <w:fldChar w:fldCharType="begin"/>
            </w:r>
            <w:r>
              <w:rPr>
                <w:noProof/>
              </w:rPr>
              <w:instrText>PAGEREF _Toc107607 \h</w:instrText>
            </w:r>
            <w:r>
              <w:rPr>
                <w:noProof/>
              </w:rPr>
            </w:r>
            <w:r>
              <w:rPr>
                <w:noProof/>
              </w:rPr>
              <w:fldChar w:fldCharType="separate"/>
            </w:r>
            <w:r w:rsidR="00705D26">
              <w:rPr>
                <w:noProof/>
              </w:rPr>
              <w:t>68</w:t>
            </w:r>
            <w:r>
              <w:rPr>
                <w:noProof/>
              </w:rPr>
              <w:fldChar w:fldCharType="end"/>
            </w:r>
          </w:hyperlink>
        </w:p>
        <w:p w14:paraId="612A8783" w14:textId="732D02B8" w:rsidR="002C26E2" w:rsidRDefault="00812CB4">
          <w:pPr>
            <w:pStyle w:val="TOC2"/>
            <w:tabs>
              <w:tab w:val="right" w:pos="9019"/>
            </w:tabs>
            <w:rPr>
              <w:noProof/>
            </w:rPr>
          </w:pPr>
          <w:hyperlink w:anchor="_Toc107608">
            <w:r>
              <w:rPr>
                <w:noProof/>
              </w:rPr>
              <w:t>9.3</w:t>
            </w:r>
            <w:r>
              <w:rPr>
                <w:noProof/>
                <w:sz w:val="24"/>
              </w:rPr>
              <w:t xml:space="preserve">  </w:t>
            </w:r>
            <w:r>
              <w:rPr>
                <w:noProof/>
              </w:rPr>
              <w:t>Assessment of the evidence</w:t>
            </w:r>
            <w:r>
              <w:rPr>
                <w:noProof/>
              </w:rPr>
              <w:tab/>
            </w:r>
            <w:r>
              <w:rPr>
                <w:noProof/>
              </w:rPr>
              <w:fldChar w:fldCharType="begin"/>
            </w:r>
            <w:r>
              <w:rPr>
                <w:noProof/>
              </w:rPr>
              <w:instrText>PAGEREF _Toc107608 \h</w:instrText>
            </w:r>
            <w:r>
              <w:rPr>
                <w:noProof/>
              </w:rPr>
            </w:r>
            <w:r>
              <w:rPr>
                <w:noProof/>
              </w:rPr>
              <w:fldChar w:fldCharType="separate"/>
            </w:r>
            <w:r w:rsidR="00705D26">
              <w:rPr>
                <w:noProof/>
              </w:rPr>
              <w:t>69</w:t>
            </w:r>
            <w:r>
              <w:rPr>
                <w:noProof/>
              </w:rPr>
              <w:fldChar w:fldCharType="end"/>
            </w:r>
          </w:hyperlink>
        </w:p>
        <w:p w14:paraId="379D92F1" w14:textId="21DF602E" w:rsidR="002C26E2" w:rsidRDefault="00812CB4">
          <w:pPr>
            <w:pStyle w:val="TOC2"/>
            <w:tabs>
              <w:tab w:val="right" w:pos="9019"/>
            </w:tabs>
            <w:rPr>
              <w:noProof/>
            </w:rPr>
          </w:pPr>
          <w:hyperlink w:anchor="_Toc107609">
            <w:r>
              <w:rPr>
                <w:noProof/>
              </w:rPr>
              <w:t>9.4</w:t>
            </w:r>
            <w:r>
              <w:rPr>
                <w:noProof/>
                <w:sz w:val="24"/>
              </w:rPr>
              <w:t xml:space="preserve">  </w:t>
            </w:r>
            <w:r>
              <w:rPr>
                <w:noProof/>
              </w:rPr>
              <w:t>Analysis of Current Arrangements for Consultations</w:t>
            </w:r>
            <w:r>
              <w:rPr>
                <w:noProof/>
              </w:rPr>
              <w:tab/>
            </w:r>
            <w:r>
              <w:rPr>
                <w:noProof/>
              </w:rPr>
              <w:fldChar w:fldCharType="begin"/>
            </w:r>
            <w:r>
              <w:rPr>
                <w:noProof/>
              </w:rPr>
              <w:instrText>PAGEREF _Toc107609 \h</w:instrText>
            </w:r>
            <w:r>
              <w:rPr>
                <w:noProof/>
              </w:rPr>
            </w:r>
            <w:r>
              <w:rPr>
                <w:noProof/>
              </w:rPr>
              <w:fldChar w:fldCharType="separate"/>
            </w:r>
            <w:r w:rsidR="00705D26">
              <w:rPr>
                <w:noProof/>
              </w:rPr>
              <w:t>70</w:t>
            </w:r>
            <w:r>
              <w:rPr>
                <w:noProof/>
              </w:rPr>
              <w:fldChar w:fldCharType="end"/>
            </w:r>
          </w:hyperlink>
        </w:p>
        <w:p w14:paraId="331B0609" w14:textId="7E57A056" w:rsidR="002C26E2" w:rsidRDefault="00812CB4">
          <w:pPr>
            <w:pStyle w:val="TOC2"/>
            <w:tabs>
              <w:tab w:val="right" w:pos="9019"/>
            </w:tabs>
            <w:rPr>
              <w:noProof/>
            </w:rPr>
          </w:pPr>
          <w:hyperlink w:anchor="_Toc107610">
            <w:r>
              <w:rPr>
                <w:noProof/>
              </w:rPr>
              <w:t>9.5</w:t>
            </w:r>
            <w:r>
              <w:rPr>
                <w:noProof/>
                <w:sz w:val="24"/>
              </w:rPr>
              <w:t xml:space="preserve">  </w:t>
            </w:r>
            <w:r>
              <w:rPr>
                <w:noProof/>
              </w:rPr>
              <w:t>Conclusions on consultation rates</w:t>
            </w:r>
            <w:r>
              <w:rPr>
                <w:noProof/>
              </w:rPr>
              <w:tab/>
            </w:r>
            <w:r>
              <w:rPr>
                <w:noProof/>
              </w:rPr>
              <w:fldChar w:fldCharType="begin"/>
            </w:r>
            <w:r>
              <w:rPr>
                <w:noProof/>
              </w:rPr>
              <w:instrText>PAGEREF _Toc107610 \h</w:instrText>
            </w:r>
            <w:r>
              <w:rPr>
                <w:noProof/>
              </w:rPr>
            </w:r>
            <w:r>
              <w:rPr>
                <w:noProof/>
              </w:rPr>
              <w:fldChar w:fldCharType="separate"/>
            </w:r>
            <w:r w:rsidR="00705D26">
              <w:rPr>
                <w:noProof/>
              </w:rPr>
              <w:t>71</w:t>
            </w:r>
            <w:r>
              <w:rPr>
                <w:noProof/>
              </w:rPr>
              <w:fldChar w:fldCharType="end"/>
            </w:r>
          </w:hyperlink>
        </w:p>
        <w:p w14:paraId="2EC362FC" w14:textId="0DB6EE84" w:rsidR="002C26E2" w:rsidRDefault="00812CB4">
          <w:pPr>
            <w:pStyle w:val="TOC2"/>
            <w:tabs>
              <w:tab w:val="right" w:pos="9019"/>
            </w:tabs>
            <w:rPr>
              <w:noProof/>
            </w:rPr>
          </w:pPr>
          <w:hyperlink w:anchor="_Toc107611">
            <w:r>
              <w:rPr>
                <w:noProof/>
              </w:rPr>
              <w:t>9.6</w:t>
            </w:r>
            <w:r>
              <w:rPr>
                <w:noProof/>
                <w:sz w:val="24"/>
              </w:rPr>
              <w:t xml:space="preserve">  </w:t>
            </w:r>
            <w:r>
              <w:rPr>
                <w:noProof/>
              </w:rPr>
              <w:t>Recommended approach to consultations</w:t>
            </w:r>
            <w:r>
              <w:rPr>
                <w:noProof/>
              </w:rPr>
              <w:tab/>
            </w:r>
            <w:r>
              <w:rPr>
                <w:noProof/>
              </w:rPr>
              <w:fldChar w:fldCharType="begin"/>
            </w:r>
            <w:r>
              <w:rPr>
                <w:noProof/>
              </w:rPr>
              <w:instrText>PAGEREF _Toc107611 \h</w:instrText>
            </w:r>
            <w:r>
              <w:rPr>
                <w:noProof/>
              </w:rPr>
            </w:r>
            <w:r>
              <w:rPr>
                <w:noProof/>
              </w:rPr>
              <w:fldChar w:fldCharType="separate"/>
            </w:r>
            <w:r w:rsidR="00705D26">
              <w:rPr>
                <w:noProof/>
              </w:rPr>
              <w:t>72</w:t>
            </w:r>
            <w:r>
              <w:rPr>
                <w:noProof/>
              </w:rPr>
              <w:fldChar w:fldCharType="end"/>
            </w:r>
          </w:hyperlink>
        </w:p>
        <w:p w14:paraId="18B91D9D" w14:textId="2A63AA14" w:rsidR="002C26E2" w:rsidRDefault="00812CB4">
          <w:pPr>
            <w:pStyle w:val="TOC2"/>
            <w:tabs>
              <w:tab w:val="right" w:pos="9019"/>
            </w:tabs>
            <w:rPr>
              <w:noProof/>
            </w:rPr>
          </w:pPr>
          <w:hyperlink w:anchor="_Toc107612">
            <w:r>
              <w:rPr>
                <w:noProof/>
              </w:rPr>
              <w:t>9.7</w:t>
            </w:r>
            <w:r>
              <w:rPr>
                <w:noProof/>
                <w:sz w:val="24"/>
              </w:rPr>
              <w:t xml:space="preserve">  </w:t>
            </w:r>
            <w:r>
              <w:rPr>
                <w:noProof/>
              </w:rPr>
              <w:t>Recommendations: Consultations</w:t>
            </w:r>
            <w:r>
              <w:rPr>
                <w:noProof/>
              </w:rPr>
              <w:tab/>
            </w:r>
            <w:r>
              <w:rPr>
                <w:noProof/>
              </w:rPr>
              <w:fldChar w:fldCharType="begin"/>
            </w:r>
            <w:r>
              <w:rPr>
                <w:noProof/>
              </w:rPr>
              <w:instrText>PAGEREF _Toc107612 \h</w:instrText>
            </w:r>
            <w:r>
              <w:rPr>
                <w:noProof/>
              </w:rPr>
            </w:r>
            <w:r>
              <w:rPr>
                <w:noProof/>
              </w:rPr>
              <w:fldChar w:fldCharType="separate"/>
            </w:r>
            <w:r w:rsidR="00705D26">
              <w:rPr>
                <w:noProof/>
              </w:rPr>
              <w:t>73</w:t>
            </w:r>
            <w:r>
              <w:rPr>
                <w:noProof/>
              </w:rPr>
              <w:fldChar w:fldCharType="end"/>
            </w:r>
          </w:hyperlink>
        </w:p>
        <w:p w14:paraId="10B1CF21" w14:textId="7D1BA8DB" w:rsidR="002C26E2" w:rsidRDefault="00812CB4">
          <w:pPr>
            <w:pStyle w:val="TOC1"/>
            <w:tabs>
              <w:tab w:val="right" w:pos="9019"/>
            </w:tabs>
            <w:rPr>
              <w:noProof/>
            </w:rPr>
          </w:pPr>
          <w:hyperlink w:anchor="_Toc107613">
            <w:r>
              <w:rPr>
                <w:noProof/>
              </w:rPr>
              <w:t>10</w:t>
            </w:r>
            <w:r>
              <w:rPr>
                <w:b w:val="0"/>
                <w:noProof/>
                <w:color w:val="000000"/>
                <w:sz w:val="24"/>
              </w:rPr>
              <w:t xml:space="preserve">  </w:t>
            </w:r>
            <w:r>
              <w:rPr>
                <w:noProof/>
              </w:rPr>
              <w:t>AUDIO VISUAL MATERIAL REVIEW</w:t>
            </w:r>
            <w:r>
              <w:rPr>
                <w:noProof/>
              </w:rPr>
              <w:tab/>
            </w:r>
            <w:r>
              <w:rPr>
                <w:noProof/>
              </w:rPr>
              <w:fldChar w:fldCharType="begin"/>
            </w:r>
            <w:r>
              <w:rPr>
                <w:noProof/>
              </w:rPr>
              <w:instrText>PAGEREF _Toc107613 \h</w:instrText>
            </w:r>
            <w:r>
              <w:rPr>
                <w:noProof/>
              </w:rPr>
            </w:r>
            <w:r>
              <w:rPr>
                <w:noProof/>
              </w:rPr>
              <w:fldChar w:fldCharType="separate"/>
            </w:r>
            <w:r w:rsidR="00705D26">
              <w:rPr>
                <w:noProof/>
              </w:rPr>
              <w:t>74</w:t>
            </w:r>
            <w:r>
              <w:rPr>
                <w:noProof/>
              </w:rPr>
              <w:fldChar w:fldCharType="end"/>
            </w:r>
          </w:hyperlink>
        </w:p>
        <w:p w14:paraId="1063D638" w14:textId="457720E1" w:rsidR="002C26E2" w:rsidRDefault="00812CB4">
          <w:pPr>
            <w:pStyle w:val="TOC2"/>
            <w:tabs>
              <w:tab w:val="right" w:pos="9019"/>
            </w:tabs>
            <w:rPr>
              <w:noProof/>
            </w:rPr>
          </w:pPr>
          <w:hyperlink w:anchor="_Toc107614">
            <w:r>
              <w:rPr>
                <w:noProof/>
              </w:rPr>
              <w:t>10.1</w:t>
            </w:r>
            <w:r>
              <w:rPr>
                <w:noProof/>
                <w:sz w:val="24"/>
              </w:rPr>
              <w:t xml:space="preserve">  </w:t>
            </w:r>
            <w:r>
              <w:rPr>
                <w:noProof/>
              </w:rPr>
              <w:t>Existing position</w:t>
            </w:r>
            <w:r>
              <w:rPr>
                <w:noProof/>
              </w:rPr>
              <w:tab/>
            </w:r>
            <w:r>
              <w:rPr>
                <w:noProof/>
              </w:rPr>
              <w:fldChar w:fldCharType="begin"/>
            </w:r>
            <w:r>
              <w:rPr>
                <w:noProof/>
              </w:rPr>
              <w:instrText>PAGEREF _Toc107614 \h</w:instrText>
            </w:r>
            <w:r>
              <w:rPr>
                <w:noProof/>
              </w:rPr>
            </w:r>
            <w:r>
              <w:rPr>
                <w:noProof/>
              </w:rPr>
              <w:fldChar w:fldCharType="separate"/>
            </w:r>
            <w:r w:rsidR="00705D26">
              <w:rPr>
                <w:noProof/>
              </w:rPr>
              <w:t>74</w:t>
            </w:r>
            <w:r>
              <w:rPr>
                <w:noProof/>
              </w:rPr>
              <w:fldChar w:fldCharType="end"/>
            </w:r>
          </w:hyperlink>
        </w:p>
        <w:p w14:paraId="611DE2C8" w14:textId="43231C46" w:rsidR="002C26E2" w:rsidRDefault="00812CB4">
          <w:pPr>
            <w:pStyle w:val="TOC2"/>
            <w:tabs>
              <w:tab w:val="right" w:pos="9019"/>
            </w:tabs>
            <w:rPr>
              <w:noProof/>
            </w:rPr>
          </w:pPr>
          <w:hyperlink w:anchor="_Toc107615">
            <w:r>
              <w:rPr>
                <w:noProof/>
              </w:rPr>
              <w:t>10.2</w:t>
            </w:r>
            <w:r>
              <w:rPr>
                <w:noProof/>
                <w:sz w:val="24"/>
              </w:rPr>
              <w:t xml:space="preserve">  </w:t>
            </w:r>
            <w:r>
              <w:rPr>
                <w:noProof/>
              </w:rPr>
              <w:t>Requests made in the Submissions</w:t>
            </w:r>
            <w:r>
              <w:rPr>
                <w:noProof/>
              </w:rPr>
              <w:tab/>
            </w:r>
            <w:r>
              <w:rPr>
                <w:noProof/>
              </w:rPr>
              <w:fldChar w:fldCharType="begin"/>
            </w:r>
            <w:r>
              <w:rPr>
                <w:noProof/>
              </w:rPr>
              <w:instrText>PAGEREF _Toc107615 \h</w:instrText>
            </w:r>
            <w:r>
              <w:rPr>
                <w:noProof/>
              </w:rPr>
            </w:r>
            <w:r>
              <w:rPr>
                <w:noProof/>
              </w:rPr>
              <w:fldChar w:fldCharType="separate"/>
            </w:r>
            <w:r w:rsidR="00705D26">
              <w:rPr>
                <w:noProof/>
              </w:rPr>
              <w:t>75</w:t>
            </w:r>
            <w:r>
              <w:rPr>
                <w:noProof/>
              </w:rPr>
              <w:fldChar w:fldCharType="end"/>
            </w:r>
          </w:hyperlink>
        </w:p>
        <w:p w14:paraId="5291F496" w14:textId="6D31FCD6" w:rsidR="002C26E2" w:rsidRDefault="00812CB4">
          <w:pPr>
            <w:pStyle w:val="TOC2"/>
            <w:tabs>
              <w:tab w:val="right" w:pos="9019"/>
            </w:tabs>
            <w:rPr>
              <w:noProof/>
            </w:rPr>
          </w:pPr>
          <w:hyperlink w:anchor="_Toc107616">
            <w:r>
              <w:rPr>
                <w:noProof/>
              </w:rPr>
              <w:t>10.3</w:t>
            </w:r>
            <w:r>
              <w:rPr>
                <w:noProof/>
                <w:sz w:val="24"/>
              </w:rPr>
              <w:t xml:space="preserve">  </w:t>
            </w:r>
            <w:r>
              <w:rPr>
                <w:noProof/>
              </w:rPr>
              <w:t>Alternative remuneration approach</w:t>
            </w:r>
            <w:r>
              <w:rPr>
                <w:noProof/>
              </w:rPr>
              <w:tab/>
            </w:r>
            <w:r>
              <w:rPr>
                <w:noProof/>
              </w:rPr>
              <w:fldChar w:fldCharType="begin"/>
            </w:r>
            <w:r>
              <w:rPr>
                <w:noProof/>
              </w:rPr>
              <w:instrText>PAGEREF _Toc107616 \h</w:instrText>
            </w:r>
            <w:r>
              <w:rPr>
                <w:noProof/>
              </w:rPr>
            </w:r>
            <w:r>
              <w:rPr>
                <w:noProof/>
              </w:rPr>
              <w:fldChar w:fldCharType="separate"/>
            </w:r>
            <w:r w:rsidR="00705D26">
              <w:rPr>
                <w:noProof/>
              </w:rPr>
              <w:t>77</w:t>
            </w:r>
            <w:r>
              <w:rPr>
                <w:noProof/>
              </w:rPr>
              <w:fldChar w:fldCharType="end"/>
            </w:r>
          </w:hyperlink>
        </w:p>
        <w:p w14:paraId="446107D7" w14:textId="4D8A3653" w:rsidR="002C26E2" w:rsidRDefault="00812CB4">
          <w:pPr>
            <w:pStyle w:val="TOC2"/>
            <w:tabs>
              <w:tab w:val="right" w:pos="9019"/>
            </w:tabs>
            <w:rPr>
              <w:noProof/>
            </w:rPr>
          </w:pPr>
          <w:hyperlink w:anchor="_Toc107617">
            <w:r>
              <w:rPr>
                <w:noProof/>
              </w:rPr>
              <w:t>10.4</w:t>
            </w:r>
            <w:r>
              <w:rPr>
                <w:noProof/>
                <w:sz w:val="24"/>
              </w:rPr>
              <w:t xml:space="preserve">  </w:t>
            </w:r>
            <w:r>
              <w:rPr>
                <w:noProof/>
              </w:rPr>
              <w:t>Conclusions on audio-visual material review</w:t>
            </w:r>
            <w:r>
              <w:rPr>
                <w:noProof/>
              </w:rPr>
              <w:tab/>
            </w:r>
            <w:r>
              <w:rPr>
                <w:noProof/>
              </w:rPr>
              <w:fldChar w:fldCharType="begin"/>
            </w:r>
            <w:r>
              <w:rPr>
                <w:noProof/>
              </w:rPr>
              <w:instrText>PAGEREF _Toc107617 \h</w:instrText>
            </w:r>
            <w:r>
              <w:rPr>
                <w:noProof/>
              </w:rPr>
            </w:r>
            <w:r>
              <w:rPr>
                <w:noProof/>
              </w:rPr>
              <w:fldChar w:fldCharType="separate"/>
            </w:r>
            <w:r w:rsidR="00705D26">
              <w:rPr>
                <w:noProof/>
              </w:rPr>
              <w:t>78</w:t>
            </w:r>
            <w:r>
              <w:rPr>
                <w:noProof/>
              </w:rPr>
              <w:fldChar w:fldCharType="end"/>
            </w:r>
          </w:hyperlink>
        </w:p>
        <w:p w14:paraId="5976ABC7" w14:textId="6B4159EF" w:rsidR="002C26E2" w:rsidRDefault="00812CB4">
          <w:pPr>
            <w:pStyle w:val="TOC2"/>
            <w:tabs>
              <w:tab w:val="right" w:pos="9019"/>
            </w:tabs>
            <w:rPr>
              <w:noProof/>
            </w:rPr>
          </w:pPr>
          <w:hyperlink w:anchor="_Toc107618">
            <w:r>
              <w:rPr>
                <w:noProof/>
              </w:rPr>
              <w:t>10.5</w:t>
            </w:r>
            <w:r>
              <w:rPr>
                <w:noProof/>
                <w:sz w:val="24"/>
              </w:rPr>
              <w:t xml:space="preserve">  </w:t>
            </w:r>
            <w:r>
              <w:rPr>
                <w:noProof/>
              </w:rPr>
              <w:t>Recommendations: Audio-Visual Material Review</w:t>
            </w:r>
            <w:r>
              <w:rPr>
                <w:noProof/>
              </w:rPr>
              <w:tab/>
            </w:r>
            <w:r>
              <w:rPr>
                <w:noProof/>
              </w:rPr>
              <w:fldChar w:fldCharType="begin"/>
            </w:r>
            <w:r>
              <w:rPr>
                <w:noProof/>
              </w:rPr>
              <w:instrText>PAGEREF _Toc107618 \h</w:instrText>
            </w:r>
            <w:r>
              <w:rPr>
                <w:noProof/>
              </w:rPr>
            </w:r>
            <w:r>
              <w:rPr>
                <w:noProof/>
              </w:rPr>
              <w:fldChar w:fldCharType="separate"/>
            </w:r>
            <w:r w:rsidR="00705D26">
              <w:rPr>
                <w:noProof/>
              </w:rPr>
              <w:t>78</w:t>
            </w:r>
            <w:r>
              <w:rPr>
                <w:noProof/>
              </w:rPr>
              <w:fldChar w:fldCharType="end"/>
            </w:r>
          </w:hyperlink>
        </w:p>
        <w:p w14:paraId="38A8E7FB" w14:textId="1236415F" w:rsidR="002C26E2" w:rsidRDefault="00812CB4">
          <w:pPr>
            <w:pStyle w:val="TOC1"/>
            <w:tabs>
              <w:tab w:val="right" w:pos="9019"/>
            </w:tabs>
            <w:rPr>
              <w:noProof/>
            </w:rPr>
          </w:pPr>
          <w:hyperlink w:anchor="_Toc107619">
            <w:r>
              <w:rPr>
                <w:noProof/>
              </w:rPr>
              <w:t>11</w:t>
            </w:r>
            <w:r>
              <w:rPr>
                <w:b w:val="0"/>
                <w:noProof/>
                <w:color w:val="000000"/>
                <w:sz w:val="24"/>
              </w:rPr>
              <w:t xml:space="preserve">  </w:t>
            </w:r>
            <w:r>
              <w:rPr>
                <w:noProof/>
              </w:rPr>
              <w:t xml:space="preserve">STATUTORY CRITERIA, AFFORDABILITY AND VALUE FOR </w:t>
            </w:r>
            <w:r>
              <w:rPr>
                <w:noProof/>
              </w:rPr>
              <w:tab/>
            </w:r>
            <w:r>
              <w:rPr>
                <w:noProof/>
              </w:rPr>
              <w:fldChar w:fldCharType="begin"/>
            </w:r>
            <w:r>
              <w:rPr>
                <w:noProof/>
              </w:rPr>
              <w:instrText>PAGEREF _Toc107619 \h</w:instrText>
            </w:r>
            <w:r>
              <w:rPr>
                <w:noProof/>
              </w:rPr>
            </w:r>
            <w:r>
              <w:rPr>
                <w:noProof/>
              </w:rPr>
              <w:fldChar w:fldCharType="separate"/>
            </w:r>
            <w:r w:rsidR="00705D26">
              <w:rPr>
                <w:noProof/>
              </w:rPr>
              <w:t>79</w:t>
            </w:r>
            <w:r>
              <w:rPr>
                <w:noProof/>
              </w:rPr>
              <w:fldChar w:fldCharType="end"/>
            </w:r>
          </w:hyperlink>
        </w:p>
        <w:p w14:paraId="42D8573C" w14:textId="4DD7AE66" w:rsidR="002C26E2" w:rsidRDefault="00812CB4">
          <w:pPr>
            <w:pStyle w:val="TOC3"/>
            <w:tabs>
              <w:tab w:val="right" w:pos="9019"/>
            </w:tabs>
            <w:rPr>
              <w:noProof/>
            </w:rPr>
          </w:pPr>
          <w:hyperlink w:anchor="_Toc107620">
            <w:r>
              <w:rPr>
                <w:noProof/>
              </w:rPr>
              <w:t>MONEY (VFM)</w:t>
            </w:r>
            <w:r>
              <w:rPr>
                <w:noProof/>
              </w:rPr>
              <w:tab/>
            </w:r>
            <w:r>
              <w:rPr>
                <w:noProof/>
              </w:rPr>
              <w:fldChar w:fldCharType="begin"/>
            </w:r>
            <w:r>
              <w:rPr>
                <w:noProof/>
              </w:rPr>
              <w:instrText>PAGEREF _Toc107620 \h</w:instrText>
            </w:r>
            <w:r>
              <w:rPr>
                <w:noProof/>
              </w:rPr>
            </w:r>
            <w:r>
              <w:rPr>
                <w:noProof/>
              </w:rPr>
              <w:fldChar w:fldCharType="separate"/>
            </w:r>
            <w:r w:rsidR="00705D26">
              <w:rPr>
                <w:noProof/>
              </w:rPr>
              <w:t>79</w:t>
            </w:r>
            <w:r>
              <w:rPr>
                <w:noProof/>
              </w:rPr>
              <w:fldChar w:fldCharType="end"/>
            </w:r>
          </w:hyperlink>
        </w:p>
        <w:p w14:paraId="0097647B" w14:textId="4F54E2F0" w:rsidR="002C26E2" w:rsidRDefault="00812CB4">
          <w:pPr>
            <w:pStyle w:val="TOC2"/>
            <w:tabs>
              <w:tab w:val="right" w:pos="9019"/>
            </w:tabs>
            <w:rPr>
              <w:noProof/>
            </w:rPr>
          </w:pPr>
          <w:hyperlink w:anchor="_Toc107621">
            <w:r>
              <w:rPr>
                <w:noProof/>
              </w:rPr>
              <w:t>11.1</w:t>
            </w:r>
            <w:r>
              <w:rPr>
                <w:noProof/>
                <w:sz w:val="24"/>
              </w:rPr>
              <w:t xml:space="preserve">  </w:t>
            </w:r>
            <w:r>
              <w:rPr>
                <w:noProof/>
              </w:rPr>
              <w:t>Statutory framework (Article 37 criteria)</w:t>
            </w:r>
            <w:r>
              <w:rPr>
                <w:noProof/>
              </w:rPr>
              <w:tab/>
            </w:r>
            <w:r>
              <w:rPr>
                <w:noProof/>
              </w:rPr>
              <w:fldChar w:fldCharType="begin"/>
            </w:r>
            <w:r>
              <w:rPr>
                <w:noProof/>
              </w:rPr>
              <w:instrText>PAGEREF _Toc107621 \h</w:instrText>
            </w:r>
            <w:r>
              <w:rPr>
                <w:noProof/>
              </w:rPr>
            </w:r>
            <w:r>
              <w:rPr>
                <w:noProof/>
              </w:rPr>
              <w:fldChar w:fldCharType="separate"/>
            </w:r>
            <w:r w:rsidR="00705D26">
              <w:rPr>
                <w:noProof/>
              </w:rPr>
              <w:t>79</w:t>
            </w:r>
            <w:r>
              <w:rPr>
                <w:noProof/>
              </w:rPr>
              <w:fldChar w:fldCharType="end"/>
            </w:r>
          </w:hyperlink>
        </w:p>
        <w:p w14:paraId="4AF66154" w14:textId="4DF8D596" w:rsidR="002C26E2" w:rsidRDefault="00812CB4">
          <w:pPr>
            <w:pStyle w:val="TOC2"/>
            <w:tabs>
              <w:tab w:val="right" w:pos="9019"/>
            </w:tabs>
            <w:rPr>
              <w:noProof/>
            </w:rPr>
          </w:pPr>
          <w:hyperlink w:anchor="_Toc107622">
            <w:r>
              <w:rPr>
                <w:noProof/>
              </w:rPr>
              <w:t>11.2</w:t>
            </w:r>
            <w:r>
              <w:rPr>
                <w:noProof/>
                <w:sz w:val="24"/>
              </w:rPr>
              <w:t xml:space="preserve">  </w:t>
            </w:r>
            <w:r>
              <w:rPr>
                <w:noProof/>
              </w:rPr>
              <w:t>The role of affordability</w:t>
            </w:r>
            <w:r>
              <w:rPr>
                <w:noProof/>
              </w:rPr>
              <w:tab/>
            </w:r>
            <w:r>
              <w:rPr>
                <w:noProof/>
              </w:rPr>
              <w:fldChar w:fldCharType="begin"/>
            </w:r>
            <w:r>
              <w:rPr>
                <w:noProof/>
              </w:rPr>
              <w:instrText>PAGEREF _Toc107622 \h</w:instrText>
            </w:r>
            <w:r>
              <w:rPr>
                <w:noProof/>
              </w:rPr>
            </w:r>
            <w:r>
              <w:rPr>
                <w:noProof/>
              </w:rPr>
              <w:fldChar w:fldCharType="separate"/>
            </w:r>
            <w:r w:rsidR="00705D26">
              <w:rPr>
                <w:noProof/>
              </w:rPr>
              <w:t>80</w:t>
            </w:r>
            <w:r>
              <w:rPr>
                <w:noProof/>
              </w:rPr>
              <w:fldChar w:fldCharType="end"/>
            </w:r>
          </w:hyperlink>
        </w:p>
        <w:p w14:paraId="6900B885" w14:textId="0C04C6B4" w:rsidR="002C26E2" w:rsidRDefault="00812CB4">
          <w:pPr>
            <w:pStyle w:val="TOC2"/>
            <w:tabs>
              <w:tab w:val="right" w:pos="9019"/>
            </w:tabs>
            <w:rPr>
              <w:noProof/>
            </w:rPr>
          </w:pPr>
          <w:hyperlink w:anchor="_Toc107623">
            <w:r>
              <w:rPr>
                <w:noProof/>
              </w:rPr>
              <w:t>11.3</w:t>
            </w:r>
            <w:r>
              <w:rPr>
                <w:noProof/>
                <w:sz w:val="24"/>
              </w:rPr>
              <w:t xml:space="preserve">  </w:t>
            </w:r>
            <w:r>
              <w:rPr>
                <w:noProof/>
              </w:rPr>
              <w:t>Conclusions: Affordability</w:t>
            </w:r>
            <w:r>
              <w:rPr>
                <w:noProof/>
              </w:rPr>
              <w:tab/>
            </w:r>
            <w:r>
              <w:rPr>
                <w:noProof/>
              </w:rPr>
              <w:fldChar w:fldCharType="begin"/>
            </w:r>
            <w:r>
              <w:rPr>
                <w:noProof/>
              </w:rPr>
              <w:instrText>PAGEREF _Toc107623 \h</w:instrText>
            </w:r>
            <w:r>
              <w:rPr>
                <w:noProof/>
              </w:rPr>
            </w:r>
            <w:r>
              <w:rPr>
                <w:noProof/>
              </w:rPr>
              <w:fldChar w:fldCharType="separate"/>
            </w:r>
            <w:r w:rsidR="00705D26">
              <w:rPr>
                <w:noProof/>
              </w:rPr>
              <w:t>82</w:t>
            </w:r>
            <w:r>
              <w:rPr>
                <w:noProof/>
              </w:rPr>
              <w:fldChar w:fldCharType="end"/>
            </w:r>
          </w:hyperlink>
        </w:p>
        <w:p w14:paraId="5BB3A5EC" w14:textId="0D4C19F8" w:rsidR="002C26E2" w:rsidRDefault="00812CB4">
          <w:pPr>
            <w:pStyle w:val="TOC2"/>
            <w:tabs>
              <w:tab w:val="right" w:pos="9019"/>
            </w:tabs>
            <w:rPr>
              <w:noProof/>
            </w:rPr>
          </w:pPr>
          <w:hyperlink w:anchor="_Toc107624">
            <w:r>
              <w:rPr>
                <w:noProof/>
              </w:rPr>
              <w:t>11.4</w:t>
            </w:r>
            <w:r>
              <w:rPr>
                <w:noProof/>
                <w:sz w:val="24"/>
              </w:rPr>
              <w:t xml:space="preserve">  </w:t>
            </w:r>
            <w:r>
              <w:rPr>
                <w:noProof/>
              </w:rPr>
              <w:t>Consideration of VfM</w:t>
            </w:r>
            <w:r>
              <w:rPr>
                <w:noProof/>
              </w:rPr>
              <w:tab/>
            </w:r>
            <w:r>
              <w:rPr>
                <w:noProof/>
              </w:rPr>
              <w:fldChar w:fldCharType="begin"/>
            </w:r>
            <w:r>
              <w:rPr>
                <w:noProof/>
              </w:rPr>
              <w:instrText>PAGEREF _Toc107624 \h</w:instrText>
            </w:r>
            <w:r>
              <w:rPr>
                <w:noProof/>
              </w:rPr>
            </w:r>
            <w:r>
              <w:rPr>
                <w:noProof/>
              </w:rPr>
              <w:fldChar w:fldCharType="separate"/>
            </w:r>
            <w:r w:rsidR="00705D26">
              <w:rPr>
                <w:noProof/>
              </w:rPr>
              <w:t>82</w:t>
            </w:r>
            <w:r>
              <w:rPr>
                <w:noProof/>
              </w:rPr>
              <w:fldChar w:fldCharType="end"/>
            </w:r>
          </w:hyperlink>
        </w:p>
        <w:p w14:paraId="15F1463F" w14:textId="29A17872" w:rsidR="002C26E2" w:rsidRDefault="00812CB4">
          <w:pPr>
            <w:pStyle w:val="TOC2"/>
            <w:tabs>
              <w:tab w:val="right" w:pos="9019"/>
            </w:tabs>
            <w:rPr>
              <w:noProof/>
            </w:rPr>
          </w:pPr>
          <w:hyperlink w:anchor="_Toc107625">
            <w:r>
              <w:rPr>
                <w:noProof/>
              </w:rPr>
              <w:t>11.5</w:t>
            </w:r>
            <w:r>
              <w:rPr>
                <w:noProof/>
                <w:sz w:val="24"/>
              </w:rPr>
              <w:t xml:space="preserve">  </w:t>
            </w:r>
            <w:r>
              <w:rPr>
                <w:noProof/>
              </w:rPr>
              <w:t>Risk of fee increases without system reform</w:t>
            </w:r>
            <w:r>
              <w:rPr>
                <w:noProof/>
              </w:rPr>
              <w:tab/>
            </w:r>
            <w:r>
              <w:rPr>
                <w:noProof/>
              </w:rPr>
              <w:fldChar w:fldCharType="begin"/>
            </w:r>
            <w:r>
              <w:rPr>
                <w:noProof/>
              </w:rPr>
              <w:instrText>PAGEREF _Toc107625 \h</w:instrText>
            </w:r>
            <w:r>
              <w:rPr>
                <w:noProof/>
              </w:rPr>
            </w:r>
            <w:r>
              <w:rPr>
                <w:noProof/>
              </w:rPr>
              <w:fldChar w:fldCharType="separate"/>
            </w:r>
            <w:r w:rsidR="00705D26">
              <w:rPr>
                <w:noProof/>
              </w:rPr>
              <w:t>84</w:t>
            </w:r>
            <w:r>
              <w:rPr>
                <w:noProof/>
              </w:rPr>
              <w:fldChar w:fldCharType="end"/>
            </w:r>
          </w:hyperlink>
        </w:p>
        <w:p w14:paraId="6420ADDC" w14:textId="509C5F24" w:rsidR="002C26E2" w:rsidRDefault="00812CB4">
          <w:pPr>
            <w:pStyle w:val="TOC2"/>
            <w:tabs>
              <w:tab w:val="right" w:pos="9019"/>
            </w:tabs>
            <w:rPr>
              <w:noProof/>
            </w:rPr>
          </w:pPr>
          <w:hyperlink w:anchor="_Toc107626">
            <w:r>
              <w:rPr>
                <w:noProof/>
              </w:rPr>
              <w:t>11.6</w:t>
            </w:r>
            <w:r>
              <w:rPr>
                <w:noProof/>
                <w:sz w:val="24"/>
              </w:rPr>
              <w:t xml:space="preserve">  </w:t>
            </w:r>
            <w:r>
              <w:rPr>
                <w:noProof/>
              </w:rPr>
              <w:t>Conclusion</w:t>
            </w:r>
            <w:r>
              <w:rPr>
                <w:noProof/>
              </w:rPr>
              <w:tab/>
            </w:r>
            <w:r>
              <w:rPr>
                <w:noProof/>
              </w:rPr>
              <w:fldChar w:fldCharType="begin"/>
            </w:r>
            <w:r>
              <w:rPr>
                <w:noProof/>
              </w:rPr>
              <w:instrText>PAGEREF _Toc107626 \h</w:instrText>
            </w:r>
            <w:r>
              <w:rPr>
                <w:noProof/>
              </w:rPr>
            </w:r>
            <w:r>
              <w:rPr>
                <w:noProof/>
              </w:rPr>
              <w:fldChar w:fldCharType="separate"/>
            </w:r>
            <w:r w:rsidR="00705D26">
              <w:rPr>
                <w:noProof/>
              </w:rPr>
              <w:t>85</w:t>
            </w:r>
            <w:r>
              <w:rPr>
                <w:noProof/>
              </w:rPr>
              <w:fldChar w:fldCharType="end"/>
            </w:r>
          </w:hyperlink>
        </w:p>
        <w:p w14:paraId="54BABBFE" w14:textId="47665E15" w:rsidR="002C26E2" w:rsidRDefault="00812CB4">
          <w:pPr>
            <w:pStyle w:val="TOC1"/>
            <w:tabs>
              <w:tab w:val="right" w:pos="9019"/>
            </w:tabs>
            <w:rPr>
              <w:noProof/>
            </w:rPr>
          </w:pPr>
          <w:hyperlink w:anchor="_Toc107627">
            <w:r>
              <w:rPr>
                <w:noProof/>
              </w:rPr>
              <w:t>12</w:t>
            </w:r>
            <w:r>
              <w:rPr>
                <w:b w:val="0"/>
                <w:noProof/>
                <w:color w:val="000000"/>
                <w:sz w:val="24"/>
              </w:rPr>
              <w:t xml:space="preserve">  </w:t>
            </w:r>
            <w:r>
              <w:rPr>
                <w:noProof/>
              </w:rPr>
              <w:t>CONCLUSIONS AND SUMMARY OF RECOMMENDATIONS</w:t>
            </w:r>
            <w:r>
              <w:rPr>
                <w:noProof/>
              </w:rPr>
              <w:tab/>
            </w:r>
            <w:r>
              <w:rPr>
                <w:noProof/>
              </w:rPr>
              <w:fldChar w:fldCharType="begin"/>
            </w:r>
            <w:r>
              <w:rPr>
                <w:noProof/>
              </w:rPr>
              <w:instrText>PAGEREF _Toc107627 \h</w:instrText>
            </w:r>
            <w:r>
              <w:rPr>
                <w:noProof/>
              </w:rPr>
            </w:r>
            <w:r>
              <w:rPr>
                <w:noProof/>
              </w:rPr>
              <w:fldChar w:fldCharType="separate"/>
            </w:r>
            <w:r w:rsidR="00705D26">
              <w:rPr>
                <w:noProof/>
              </w:rPr>
              <w:t>86</w:t>
            </w:r>
            <w:r>
              <w:rPr>
                <w:noProof/>
              </w:rPr>
              <w:fldChar w:fldCharType="end"/>
            </w:r>
          </w:hyperlink>
        </w:p>
        <w:p w14:paraId="1ACAEEC5" w14:textId="13606BD9" w:rsidR="002C26E2" w:rsidRDefault="00812CB4">
          <w:pPr>
            <w:pStyle w:val="TOC2"/>
            <w:tabs>
              <w:tab w:val="right" w:pos="9019"/>
            </w:tabs>
            <w:rPr>
              <w:noProof/>
            </w:rPr>
          </w:pPr>
          <w:hyperlink w:anchor="_Toc107628">
            <w:r>
              <w:rPr>
                <w:noProof/>
              </w:rPr>
              <w:t>12.1</w:t>
            </w:r>
            <w:r>
              <w:rPr>
                <w:noProof/>
                <w:sz w:val="24"/>
              </w:rPr>
              <w:t xml:space="preserve">  </w:t>
            </w:r>
            <w:r>
              <w:rPr>
                <w:noProof/>
              </w:rPr>
              <w:t>Headline conclusions</w:t>
            </w:r>
            <w:r>
              <w:rPr>
                <w:noProof/>
              </w:rPr>
              <w:tab/>
            </w:r>
            <w:r>
              <w:rPr>
                <w:noProof/>
              </w:rPr>
              <w:fldChar w:fldCharType="begin"/>
            </w:r>
            <w:r>
              <w:rPr>
                <w:noProof/>
              </w:rPr>
              <w:instrText>PAGEREF _Toc107628 \h</w:instrText>
            </w:r>
            <w:r>
              <w:rPr>
                <w:noProof/>
              </w:rPr>
            </w:r>
            <w:r>
              <w:rPr>
                <w:noProof/>
              </w:rPr>
              <w:fldChar w:fldCharType="separate"/>
            </w:r>
            <w:r w:rsidR="00705D26">
              <w:rPr>
                <w:noProof/>
              </w:rPr>
              <w:t>86</w:t>
            </w:r>
            <w:r>
              <w:rPr>
                <w:noProof/>
              </w:rPr>
              <w:fldChar w:fldCharType="end"/>
            </w:r>
          </w:hyperlink>
        </w:p>
        <w:p w14:paraId="7636B9D4" w14:textId="6D12D1A7" w:rsidR="002C26E2" w:rsidRDefault="00812CB4">
          <w:pPr>
            <w:pStyle w:val="TOC2"/>
            <w:tabs>
              <w:tab w:val="right" w:pos="9019"/>
            </w:tabs>
            <w:rPr>
              <w:noProof/>
            </w:rPr>
          </w:pPr>
          <w:hyperlink w:anchor="_Toc107629">
            <w:r>
              <w:rPr>
                <w:noProof/>
              </w:rPr>
              <w:t>12.2</w:t>
            </w:r>
            <w:r>
              <w:rPr>
                <w:noProof/>
                <w:sz w:val="24"/>
              </w:rPr>
              <w:t xml:space="preserve">  </w:t>
            </w:r>
            <w:r>
              <w:rPr>
                <w:noProof/>
              </w:rPr>
              <w:t>Summary of key recommendations</w:t>
            </w:r>
            <w:r>
              <w:rPr>
                <w:noProof/>
              </w:rPr>
              <w:tab/>
            </w:r>
            <w:r>
              <w:rPr>
                <w:noProof/>
              </w:rPr>
              <w:fldChar w:fldCharType="begin"/>
            </w:r>
            <w:r>
              <w:rPr>
                <w:noProof/>
              </w:rPr>
              <w:instrText>PAGEREF _Toc107629 \h</w:instrText>
            </w:r>
            <w:r>
              <w:rPr>
                <w:noProof/>
              </w:rPr>
            </w:r>
            <w:r>
              <w:rPr>
                <w:noProof/>
              </w:rPr>
              <w:fldChar w:fldCharType="separate"/>
            </w:r>
            <w:r w:rsidR="00705D26">
              <w:rPr>
                <w:noProof/>
              </w:rPr>
              <w:t>86</w:t>
            </w:r>
            <w:r>
              <w:rPr>
                <w:noProof/>
              </w:rPr>
              <w:fldChar w:fldCharType="end"/>
            </w:r>
          </w:hyperlink>
        </w:p>
        <w:p w14:paraId="2C83F80C" w14:textId="0FC833DF" w:rsidR="002C26E2" w:rsidRDefault="00812CB4">
          <w:pPr>
            <w:pStyle w:val="TOC2"/>
            <w:tabs>
              <w:tab w:val="right" w:pos="9019"/>
            </w:tabs>
            <w:rPr>
              <w:noProof/>
            </w:rPr>
          </w:pPr>
          <w:hyperlink w:anchor="_Toc107630">
            <w:r>
              <w:rPr>
                <w:noProof/>
              </w:rPr>
              <w:t>12.3</w:t>
            </w:r>
            <w:r>
              <w:rPr>
                <w:noProof/>
                <w:sz w:val="24"/>
              </w:rPr>
              <w:t xml:space="preserve">  </w:t>
            </w:r>
            <w:r>
              <w:rPr>
                <w:noProof/>
              </w:rPr>
              <w:t>Implications for delivery, cost and value for money</w:t>
            </w:r>
            <w:r>
              <w:rPr>
                <w:noProof/>
              </w:rPr>
              <w:tab/>
            </w:r>
            <w:r>
              <w:rPr>
                <w:noProof/>
              </w:rPr>
              <w:fldChar w:fldCharType="begin"/>
            </w:r>
            <w:r>
              <w:rPr>
                <w:noProof/>
              </w:rPr>
              <w:instrText>PAGEREF _Toc107630 \h</w:instrText>
            </w:r>
            <w:r>
              <w:rPr>
                <w:noProof/>
              </w:rPr>
            </w:r>
            <w:r>
              <w:rPr>
                <w:noProof/>
              </w:rPr>
              <w:fldChar w:fldCharType="separate"/>
            </w:r>
            <w:r w:rsidR="00705D26">
              <w:rPr>
                <w:noProof/>
              </w:rPr>
              <w:t>89</w:t>
            </w:r>
            <w:r>
              <w:rPr>
                <w:noProof/>
              </w:rPr>
              <w:fldChar w:fldCharType="end"/>
            </w:r>
          </w:hyperlink>
        </w:p>
        <w:p w14:paraId="5DCFABEA" w14:textId="12EC156C" w:rsidR="002C26E2" w:rsidRDefault="00812CB4">
          <w:pPr>
            <w:pStyle w:val="TOC2"/>
            <w:tabs>
              <w:tab w:val="right" w:pos="9019"/>
            </w:tabs>
            <w:rPr>
              <w:noProof/>
            </w:rPr>
          </w:pPr>
          <w:hyperlink w:anchor="_Toc107631">
            <w:r>
              <w:rPr>
                <w:noProof/>
              </w:rPr>
              <w:t>12.4</w:t>
            </w:r>
            <w:r>
              <w:rPr>
                <w:noProof/>
                <w:sz w:val="24"/>
              </w:rPr>
              <w:t xml:space="preserve">  </w:t>
            </w:r>
            <w:r>
              <w:rPr>
                <w:noProof/>
              </w:rPr>
              <w:t>Implementation considerations and next steps</w:t>
            </w:r>
            <w:r>
              <w:rPr>
                <w:noProof/>
              </w:rPr>
              <w:tab/>
            </w:r>
            <w:r>
              <w:rPr>
                <w:noProof/>
              </w:rPr>
              <w:fldChar w:fldCharType="begin"/>
            </w:r>
            <w:r>
              <w:rPr>
                <w:noProof/>
              </w:rPr>
              <w:instrText>PAGEREF _Toc107631 \h</w:instrText>
            </w:r>
            <w:r>
              <w:rPr>
                <w:noProof/>
              </w:rPr>
            </w:r>
            <w:r>
              <w:rPr>
                <w:noProof/>
              </w:rPr>
              <w:fldChar w:fldCharType="separate"/>
            </w:r>
            <w:r w:rsidR="00705D26">
              <w:rPr>
                <w:noProof/>
              </w:rPr>
              <w:t>90</w:t>
            </w:r>
            <w:r>
              <w:rPr>
                <w:noProof/>
              </w:rPr>
              <w:fldChar w:fldCharType="end"/>
            </w:r>
          </w:hyperlink>
        </w:p>
        <w:p w14:paraId="03031BC2" w14:textId="0EDC1CA1" w:rsidR="002C26E2" w:rsidRDefault="00812CB4">
          <w:pPr>
            <w:pStyle w:val="TOC2"/>
            <w:tabs>
              <w:tab w:val="right" w:pos="9019"/>
            </w:tabs>
            <w:rPr>
              <w:noProof/>
            </w:rPr>
          </w:pPr>
          <w:hyperlink w:anchor="_Toc107632">
            <w:r>
              <w:rPr>
                <w:noProof/>
              </w:rPr>
              <w:t>12.5</w:t>
            </w:r>
            <w:r>
              <w:rPr>
                <w:noProof/>
                <w:sz w:val="24"/>
              </w:rPr>
              <w:t xml:space="preserve">  </w:t>
            </w:r>
            <w:r>
              <w:rPr>
                <w:noProof/>
              </w:rPr>
              <w:t>Final Comments</w:t>
            </w:r>
            <w:r>
              <w:rPr>
                <w:noProof/>
              </w:rPr>
              <w:tab/>
            </w:r>
            <w:r>
              <w:rPr>
                <w:noProof/>
              </w:rPr>
              <w:fldChar w:fldCharType="begin"/>
            </w:r>
            <w:r>
              <w:rPr>
                <w:noProof/>
              </w:rPr>
              <w:instrText>PAGEREF _Toc107632 \h</w:instrText>
            </w:r>
            <w:r>
              <w:rPr>
                <w:noProof/>
              </w:rPr>
            </w:r>
            <w:r>
              <w:rPr>
                <w:noProof/>
              </w:rPr>
              <w:fldChar w:fldCharType="separate"/>
            </w:r>
            <w:r w:rsidR="00705D26">
              <w:rPr>
                <w:noProof/>
              </w:rPr>
              <w:t>90</w:t>
            </w:r>
            <w:r>
              <w:rPr>
                <w:noProof/>
              </w:rPr>
              <w:fldChar w:fldCharType="end"/>
            </w:r>
          </w:hyperlink>
        </w:p>
        <w:p w14:paraId="294C9C99" w14:textId="77777777" w:rsidR="002C26E2" w:rsidRDefault="00812CB4">
          <w:r>
            <w:fldChar w:fldCharType="end"/>
          </w:r>
        </w:p>
      </w:sdtContent>
    </w:sdt>
    <w:p w14:paraId="02013180" w14:textId="5DE7EDA5" w:rsidR="002C26E2" w:rsidRDefault="002C26E2" w:rsidP="00554D9A">
      <w:pPr>
        <w:spacing w:after="0" w:line="360" w:lineRule="auto"/>
        <w:ind w:left="576" w:right="8376" w:firstLine="0"/>
        <w:jc w:val="both"/>
      </w:pPr>
    </w:p>
    <w:p w14:paraId="4F234045" w14:textId="77777777" w:rsidR="00554D9A" w:rsidRDefault="00554D9A">
      <w:pPr>
        <w:spacing w:after="406" w:line="259" w:lineRule="auto"/>
        <w:ind w:left="85" w:firstLine="0"/>
        <w:jc w:val="center"/>
        <w:rPr>
          <w:sz w:val="28"/>
        </w:rPr>
        <w:sectPr w:rsidR="00554D9A">
          <w:pgSz w:w="11906" w:h="16838"/>
          <w:pgMar w:top="1257" w:right="1447" w:bottom="1376" w:left="1440" w:header="720" w:footer="720" w:gutter="0"/>
          <w:cols w:space="720"/>
          <w:titlePg/>
        </w:sectPr>
      </w:pPr>
    </w:p>
    <w:p w14:paraId="43D76184" w14:textId="77777777" w:rsidR="002C26E2" w:rsidRDefault="00812CB4">
      <w:pPr>
        <w:pStyle w:val="Heading1"/>
        <w:spacing w:after="0" w:line="259" w:lineRule="auto"/>
        <w:ind w:left="837" w:hanging="852"/>
      </w:pPr>
      <w:bookmarkStart w:id="0" w:name="_Toc107538"/>
      <w:r>
        <w:rPr>
          <w:sz w:val="32"/>
        </w:rPr>
        <w:t>E</w:t>
      </w:r>
      <w:r>
        <w:rPr>
          <w:sz w:val="26"/>
        </w:rPr>
        <w:t>XECUTIVE</w:t>
      </w:r>
      <w:r>
        <w:rPr>
          <w:color w:val="004E9A"/>
          <w:sz w:val="26"/>
        </w:rPr>
        <w:t xml:space="preserve"> </w:t>
      </w:r>
      <w:r>
        <w:rPr>
          <w:color w:val="004E9A"/>
          <w:sz w:val="32"/>
        </w:rPr>
        <w:t>S</w:t>
      </w:r>
      <w:r>
        <w:rPr>
          <w:color w:val="004E9A"/>
          <w:sz w:val="26"/>
        </w:rPr>
        <w:t>UMMARY</w:t>
      </w:r>
      <w:r>
        <w:rPr>
          <w:color w:val="004E9A"/>
          <w:sz w:val="32"/>
        </w:rPr>
        <w:t xml:space="preserve"> </w:t>
      </w:r>
      <w:bookmarkEnd w:id="0"/>
    </w:p>
    <w:p w14:paraId="38C4CCE3" w14:textId="77777777" w:rsidR="002C26E2" w:rsidRDefault="00812CB4">
      <w:pPr>
        <w:spacing w:after="212" w:line="259" w:lineRule="auto"/>
        <w:ind w:left="-29" w:right="-38" w:firstLine="0"/>
      </w:pPr>
      <w:r>
        <w:rPr>
          <w:rFonts w:ascii="Calibri" w:eastAsia="Calibri" w:hAnsi="Calibri" w:cs="Calibri"/>
          <w:noProof/>
          <w:sz w:val="22"/>
        </w:rPr>
        <mc:AlternateContent>
          <mc:Choice Requires="wpg">
            <w:drawing>
              <wp:inline distT="0" distB="0" distL="0" distR="0" wp14:anchorId="4EF077C4" wp14:editId="7A2F7743">
                <wp:extent cx="5769610" cy="6096"/>
                <wp:effectExtent l="0" t="0" r="0" b="0"/>
                <wp:docPr id="85502" name="Group 85502"/>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09981" name="Shape 109981"/>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85502" style="width:454.3pt;height:0.47998pt;mso-position-horizontal-relative:char;mso-position-vertical-relative:line" coordsize="57696,60">
                <v:shape id="Shape 109982"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70F4E253" w14:textId="77777777" w:rsidR="002C26E2" w:rsidRDefault="00812CB4">
      <w:pPr>
        <w:spacing w:after="0"/>
        <w:ind w:left="7"/>
      </w:pPr>
      <w:r>
        <w:t xml:space="preserve">This Executive Summary sets out the principal conclusions and recommendations of the Accelerated Review initiated by the Department of Justice on 6 March 2026 to fast-track specific elements of an agreed Roadmap on criminal legal aid remuneration. The Review has been conducted within the statutory framework </w:t>
      </w:r>
    </w:p>
    <w:p w14:paraId="7D9B7D63" w14:textId="77777777" w:rsidR="002C26E2" w:rsidRDefault="00812CB4">
      <w:pPr>
        <w:spacing w:after="448"/>
        <w:ind w:left="7"/>
      </w:pPr>
      <w:r>
        <w:t xml:space="preserve">(including Article 37 of the Legal Aid, Advice and Assistance (Northern Ireland) Order 1981) and in accordance with Terms of Reference requiring recommendations to be supported by evidence that is statistically valid, verified, and sufficiently objective and robust. </w:t>
      </w:r>
    </w:p>
    <w:p w14:paraId="51264D41" w14:textId="77777777" w:rsidR="002C26E2" w:rsidRDefault="00812CB4" w:rsidP="00554D9A">
      <w:pPr>
        <w:pStyle w:val="Heading2"/>
        <w:spacing w:after="112" w:line="264" w:lineRule="auto"/>
        <w:ind w:left="845" w:right="198" w:hanging="851"/>
      </w:pPr>
      <w:bookmarkStart w:id="1" w:name="_Toc107539"/>
      <w:r>
        <w:rPr>
          <w:color w:val="004E9A"/>
          <w:sz w:val="28"/>
        </w:rPr>
        <w:t>C</w:t>
      </w:r>
      <w:r>
        <w:rPr>
          <w:color w:val="004E9A"/>
        </w:rPr>
        <w:t>ONTEXT AND PURPOSE</w:t>
      </w:r>
      <w:r>
        <w:rPr>
          <w:color w:val="004E9A"/>
          <w:sz w:val="28"/>
        </w:rPr>
        <w:t xml:space="preserve"> </w:t>
      </w:r>
      <w:bookmarkEnd w:id="1"/>
    </w:p>
    <w:p w14:paraId="456E8E0E" w14:textId="77777777" w:rsidR="002C26E2" w:rsidRDefault="00812CB4">
      <w:pPr>
        <w:spacing w:after="229" w:line="265" w:lineRule="auto"/>
        <w:ind w:left="7"/>
      </w:pPr>
      <w:r>
        <w:rPr>
          <w:u w:val="single" w:color="000000"/>
        </w:rPr>
        <w:t>Origin</w:t>
      </w:r>
      <w:r>
        <w:rPr>
          <w:b/>
        </w:rPr>
        <w:t xml:space="preserve">  </w:t>
      </w:r>
    </w:p>
    <w:p w14:paraId="3D4C87F4" w14:textId="77777777" w:rsidR="002C26E2" w:rsidRDefault="00812CB4">
      <w:pPr>
        <w:ind w:left="7"/>
      </w:pPr>
      <w:r>
        <w:t xml:space="preserve">The Accelerated Review arises from the Fundamental Review (23 August 2024) which recommended retaining the overall structure of the fee regime while rebuilding the evidential basis for remuneration (largely unchanged since 2005).  Several changes have already been implemented including a16% increase, which took effect from 7 January 2026 (backdated to 1 December 2024) for specified fees. </w:t>
      </w:r>
    </w:p>
    <w:p w14:paraId="3C085F74" w14:textId="77777777" w:rsidR="002C26E2" w:rsidRDefault="00812CB4">
      <w:pPr>
        <w:spacing w:after="109" w:line="265" w:lineRule="auto"/>
        <w:ind w:left="7"/>
      </w:pPr>
      <w:r>
        <w:rPr>
          <w:u w:val="single" w:color="000000"/>
        </w:rPr>
        <w:t>Why accelerated</w:t>
      </w:r>
      <w:r>
        <w:t xml:space="preserve">? </w:t>
      </w:r>
    </w:p>
    <w:p w14:paraId="2842A761" w14:textId="77777777" w:rsidR="002C26E2" w:rsidRDefault="00812CB4">
      <w:pPr>
        <w:spacing w:after="153"/>
        <w:ind w:left="7" w:right="225"/>
      </w:pPr>
      <w:r>
        <w:t xml:space="preserve">Following agreement of a Roadmap developed by a Working Party (on which members of the Bar Council/CBA; Law Society/SCBA; PPS; and DoJ were represented), certain elements were selected for fast-tracking to enable earlier decisions on key pressure points. </w:t>
      </w:r>
    </w:p>
    <w:p w14:paraId="201BFD98" w14:textId="77777777" w:rsidR="002C26E2" w:rsidRDefault="00812CB4">
      <w:pPr>
        <w:spacing w:after="109" w:line="265" w:lineRule="auto"/>
        <w:ind w:left="7"/>
      </w:pPr>
      <w:r>
        <w:rPr>
          <w:u w:val="single" w:color="000000"/>
        </w:rPr>
        <w:t>Timescale</w:t>
      </w:r>
      <w:r>
        <w:rPr>
          <w:b/>
        </w:rPr>
        <w:t xml:space="preserve">  </w:t>
      </w:r>
    </w:p>
    <w:p w14:paraId="6CDC8363" w14:textId="77777777" w:rsidR="002C26E2" w:rsidRDefault="00812CB4">
      <w:pPr>
        <w:spacing w:after="446"/>
        <w:ind w:left="7" w:right="225"/>
      </w:pPr>
      <w:r>
        <w:t>Submissions were requested by 13 March 2026, follow-up enquiries by 20 March 2026, with final reporting required by 27 April 2026</w:t>
      </w:r>
      <w:r>
        <w:rPr>
          <w:b/>
        </w:rPr>
        <w:t xml:space="preserve">. </w:t>
      </w:r>
    </w:p>
    <w:p w14:paraId="62A95EA1" w14:textId="77777777" w:rsidR="002C26E2" w:rsidRDefault="00812CB4" w:rsidP="00554D9A">
      <w:pPr>
        <w:pStyle w:val="Heading2"/>
        <w:spacing w:after="112" w:line="264" w:lineRule="auto"/>
        <w:ind w:left="845" w:right="198" w:hanging="851"/>
      </w:pPr>
      <w:bookmarkStart w:id="2" w:name="_Toc107540"/>
      <w:r>
        <w:rPr>
          <w:color w:val="004E9A"/>
          <w:sz w:val="28"/>
        </w:rPr>
        <w:t>A</w:t>
      </w:r>
      <w:r>
        <w:rPr>
          <w:color w:val="004E9A"/>
        </w:rPr>
        <w:t xml:space="preserve">GREED SCOPE </w:t>
      </w:r>
      <w:r>
        <w:rPr>
          <w:color w:val="004E9A"/>
          <w:sz w:val="28"/>
        </w:rPr>
        <w:t>(</w:t>
      </w:r>
      <w:r>
        <w:rPr>
          <w:color w:val="004E9A"/>
        </w:rPr>
        <w:t>AND EXCLUSIONS</w:t>
      </w:r>
      <w:r>
        <w:rPr>
          <w:color w:val="004E9A"/>
          <w:sz w:val="28"/>
        </w:rPr>
        <w:t xml:space="preserve">) </w:t>
      </w:r>
      <w:bookmarkEnd w:id="2"/>
    </w:p>
    <w:p w14:paraId="16A03576" w14:textId="77777777" w:rsidR="002C26E2" w:rsidRDefault="00812CB4">
      <w:pPr>
        <w:spacing w:after="153"/>
        <w:ind w:left="7"/>
      </w:pPr>
      <w:r>
        <w:t xml:space="preserve">The fee regime sets out the remuneration for the work undertaken by solicitors and barristers across the entire criminal justice system.  This includes all criminal offences from the date of engagement by the PSNI with a suspect; through the course of the investigation; if charged with an offence representing the accused </w:t>
      </w:r>
      <w:r>
        <w:t xml:space="preserve">through the criminal court system whether that be solely in the Magistrates’ Court , or through the Magistrates’ Court into and through the Crown Court system; and if </w:t>
      </w:r>
      <w:r>
        <w:t xml:space="preserve">convicted through the sentencing process. </w:t>
      </w:r>
    </w:p>
    <w:p w14:paraId="1B2FA3B8" w14:textId="77777777" w:rsidR="002C26E2" w:rsidRDefault="00812CB4">
      <w:pPr>
        <w:spacing w:after="117" w:line="259" w:lineRule="auto"/>
        <w:ind w:left="7" w:right="225"/>
      </w:pPr>
      <w:r>
        <w:t xml:space="preserve">Those fees are accommodated by a standard fee structure referred to in the </w:t>
      </w:r>
    </w:p>
    <w:p w14:paraId="0DA897FF" w14:textId="77777777" w:rsidR="002C26E2" w:rsidRDefault="00812CB4">
      <w:pPr>
        <w:spacing w:after="152"/>
        <w:ind w:left="7"/>
      </w:pPr>
      <w:r>
        <w:t xml:space="preserve">Fundamental Review (issued in August 2024) and which will be addressed in this Accelerated Review under Heading1 set out below; and a range of individual fees for specific areas of work not accommodated in the standard </w:t>
      </w:r>
      <w:proofErr w:type="gramStart"/>
      <w:r>
        <w:t>fees</w:t>
      </w:r>
      <w:proofErr w:type="gramEnd"/>
      <w:r>
        <w:t xml:space="preserve"> regime, some of which are addressed in this Accelerated Review under Headings 2 and 3 below. </w:t>
      </w:r>
    </w:p>
    <w:p w14:paraId="17DBD66C" w14:textId="77777777" w:rsidR="002C26E2" w:rsidRDefault="00812CB4">
      <w:pPr>
        <w:spacing w:after="273" w:line="265" w:lineRule="auto"/>
        <w:ind w:left="7"/>
      </w:pPr>
      <w:r>
        <w:rPr>
          <w:u w:val="single" w:color="000000"/>
        </w:rPr>
        <w:t>Heading 1 (General remuneration levels)</w:t>
      </w:r>
      <w:r>
        <w:t xml:space="preserve"> </w:t>
      </w:r>
    </w:p>
    <w:p w14:paraId="67BDBD55" w14:textId="77777777" w:rsidR="002C26E2" w:rsidRDefault="00812CB4">
      <w:pPr>
        <w:spacing w:after="152"/>
        <w:ind w:left="7" w:right="225"/>
      </w:pPr>
      <w:r>
        <w:t xml:space="preserve">A general review of the level of criminal legal aid remuneration across the </w:t>
      </w:r>
      <w:r>
        <w:t>Magistrates’ Court, County Court appeals, and the Crown Court.</w:t>
      </w:r>
      <w:r>
        <w:t xml:space="preserve"> </w:t>
      </w:r>
    </w:p>
    <w:p w14:paraId="75154662" w14:textId="77777777" w:rsidR="002C26E2" w:rsidRDefault="00812CB4">
      <w:pPr>
        <w:spacing w:after="270" w:line="265" w:lineRule="auto"/>
        <w:ind w:left="7"/>
      </w:pPr>
      <w:r>
        <w:rPr>
          <w:u w:val="single" w:color="000000"/>
        </w:rPr>
        <w:t xml:space="preserve">Heading 2 (Crown Court </w:t>
      </w:r>
      <w:r>
        <w:rPr>
          <w:u w:val="single" w:color="000000"/>
        </w:rPr>
        <w:t>–</w:t>
      </w:r>
      <w:r>
        <w:rPr>
          <w:u w:val="single" w:color="000000"/>
        </w:rPr>
        <w:t xml:space="preserve"> barristers)</w:t>
      </w:r>
      <w:r>
        <w:rPr>
          <w:b/>
        </w:rPr>
        <w:t xml:space="preserve"> </w:t>
      </w:r>
    </w:p>
    <w:p w14:paraId="4C3A1C01" w14:textId="77777777" w:rsidR="002C26E2" w:rsidRDefault="00812CB4">
      <w:pPr>
        <w:spacing w:after="152"/>
        <w:ind w:left="7" w:right="225"/>
      </w:pPr>
      <w:r>
        <w:t>Specific Crown Court categories: Exceptional Preparation (EP), consultations, and sentencing skeleton arguments.</w:t>
      </w:r>
      <w:r>
        <w:rPr>
          <w:b/>
        </w:rPr>
        <w:t xml:space="preserve"> </w:t>
      </w:r>
    </w:p>
    <w:p w14:paraId="6C513CAF" w14:textId="77777777" w:rsidR="002C26E2" w:rsidRDefault="00812CB4">
      <w:pPr>
        <w:spacing w:after="270" w:line="265" w:lineRule="auto"/>
        <w:ind w:left="7"/>
      </w:pPr>
      <w:r>
        <w:rPr>
          <w:u w:val="single" w:color="000000"/>
        </w:rPr>
        <w:t xml:space="preserve">Heading 3 (Crown Court </w:t>
      </w:r>
      <w:r>
        <w:rPr>
          <w:u w:val="single" w:color="000000"/>
        </w:rPr>
        <w:t>–</w:t>
      </w:r>
      <w:r>
        <w:rPr>
          <w:u w:val="single" w:color="000000"/>
        </w:rPr>
        <w:t xml:space="preserve"> solicitors)</w:t>
      </w:r>
      <w:r>
        <w:t xml:space="preserve"> </w:t>
      </w:r>
      <w:r>
        <w:rPr>
          <w:b/>
        </w:rPr>
        <w:t xml:space="preserve"> </w:t>
      </w:r>
    </w:p>
    <w:p w14:paraId="0391FC1D" w14:textId="77777777" w:rsidR="002C26E2" w:rsidRDefault="00812CB4">
      <w:pPr>
        <w:spacing w:after="152"/>
        <w:ind w:left="7" w:right="225"/>
      </w:pPr>
      <w:r>
        <w:t>Specific Crown Court categories: Exceptional Preparation (EP), consultations, and consideration of audio-visual (AV) evidence.</w:t>
      </w:r>
      <w:r>
        <w:rPr>
          <w:b/>
        </w:rPr>
        <w:t xml:space="preserve"> </w:t>
      </w:r>
    </w:p>
    <w:p w14:paraId="1281A5CD" w14:textId="77777777" w:rsidR="002C26E2" w:rsidRDefault="00812CB4">
      <w:pPr>
        <w:spacing w:after="270" w:line="265" w:lineRule="auto"/>
        <w:ind w:left="7"/>
      </w:pPr>
      <w:r>
        <w:rPr>
          <w:u w:val="single" w:color="000000"/>
        </w:rPr>
        <w:t>Explicit exclusions</w:t>
      </w:r>
      <w:r>
        <w:t xml:space="preserve"> </w:t>
      </w:r>
      <w:r>
        <w:rPr>
          <w:b/>
        </w:rPr>
        <w:t xml:space="preserve"> </w:t>
      </w:r>
    </w:p>
    <w:p w14:paraId="12C264F8" w14:textId="77777777" w:rsidR="002C26E2" w:rsidRDefault="00812CB4">
      <w:pPr>
        <w:spacing w:after="452"/>
        <w:ind w:left="7"/>
      </w:pPr>
      <w:r>
        <w:t xml:space="preserve">The Accelerated Review does not redesign the overall structure of standard fees or undertake a full time-and-rate rebuild of all set fees; those matters require substantial further data collection and longer-term work. </w:t>
      </w:r>
    </w:p>
    <w:p w14:paraId="46A83A1C" w14:textId="77777777" w:rsidR="002C26E2" w:rsidRDefault="00812CB4">
      <w:pPr>
        <w:pStyle w:val="Heading2"/>
        <w:spacing w:after="112"/>
        <w:ind w:left="849" w:right="200" w:hanging="852"/>
      </w:pPr>
      <w:bookmarkStart w:id="3" w:name="_Toc107541"/>
      <w:r>
        <w:rPr>
          <w:color w:val="004E9A"/>
          <w:sz w:val="28"/>
        </w:rPr>
        <w:t>A</w:t>
      </w:r>
      <w:r>
        <w:rPr>
          <w:color w:val="004E9A"/>
        </w:rPr>
        <w:t>PPROACH AND EVIDENTIAL STANDARDS</w:t>
      </w:r>
      <w:r>
        <w:rPr>
          <w:b w:val="0"/>
          <w:color w:val="004E9A"/>
          <w:sz w:val="28"/>
        </w:rPr>
        <w:t xml:space="preserve"> </w:t>
      </w:r>
      <w:bookmarkEnd w:id="3"/>
    </w:p>
    <w:p w14:paraId="3ECA30F8" w14:textId="77777777" w:rsidR="002C26E2" w:rsidRDefault="00812CB4">
      <w:pPr>
        <w:spacing w:after="270" w:line="265" w:lineRule="auto"/>
        <w:ind w:left="7"/>
      </w:pPr>
      <w:r>
        <w:rPr>
          <w:u w:val="single" w:color="000000"/>
        </w:rPr>
        <w:t>Statutory criteria</w:t>
      </w:r>
      <w:r>
        <w:t xml:space="preserve"> </w:t>
      </w:r>
      <w:r>
        <w:rPr>
          <w:b/>
        </w:rPr>
        <w:t xml:space="preserve"> </w:t>
      </w:r>
    </w:p>
    <w:p w14:paraId="6DC56A0A" w14:textId="77777777" w:rsidR="002C26E2" w:rsidRDefault="00812CB4">
      <w:pPr>
        <w:ind w:left="7"/>
      </w:pPr>
      <w:r>
        <w:t xml:space="preserve">The Review Team had regard to the statutory factors in Article 37 (time and skill; competence; cost to public funds; and value for money). These criteria informed both the analytical approach and the design of recommendations. </w:t>
      </w:r>
    </w:p>
    <w:p w14:paraId="392FC386" w14:textId="77777777" w:rsidR="00554D9A" w:rsidRDefault="00554D9A">
      <w:pPr>
        <w:spacing w:after="349" w:line="265" w:lineRule="auto"/>
        <w:ind w:left="7"/>
        <w:rPr>
          <w:u w:val="single" w:color="000000"/>
        </w:rPr>
      </w:pPr>
    </w:p>
    <w:p w14:paraId="0149A0D4" w14:textId="77777777" w:rsidR="00554D9A" w:rsidRDefault="00554D9A">
      <w:pPr>
        <w:spacing w:after="349" w:line="265" w:lineRule="auto"/>
        <w:ind w:left="7"/>
        <w:rPr>
          <w:u w:val="single" w:color="000000"/>
        </w:rPr>
      </w:pPr>
    </w:p>
    <w:p w14:paraId="4981FA91" w14:textId="786CCEE2" w:rsidR="002C26E2" w:rsidRDefault="00812CB4">
      <w:pPr>
        <w:spacing w:after="349" w:line="265" w:lineRule="auto"/>
        <w:ind w:left="7"/>
      </w:pPr>
      <w:r>
        <w:rPr>
          <w:u w:val="single" w:color="000000"/>
        </w:rPr>
        <w:t>Affordability</w:t>
      </w:r>
      <w:r>
        <w:rPr>
          <w:b/>
        </w:rPr>
        <w:t xml:space="preserve">  </w:t>
      </w:r>
    </w:p>
    <w:p w14:paraId="1A766D1C" w14:textId="77777777" w:rsidR="002C26E2" w:rsidRDefault="00812CB4">
      <w:pPr>
        <w:ind w:left="7"/>
      </w:pPr>
      <w:r>
        <w:t xml:space="preserve">While affordability is not a standalone statutory criterion, it is closely linked to “cost to public funds” and is expressly referenced in the Terms of Reference as an </w:t>
      </w:r>
      <w:r>
        <w:t xml:space="preserve">implementation-stage consideration requiring necessary financial and Ministerial approvals. The Review Team therefore developed recommendations on an evidence-led basis, recognising that final affordability testing is for the Department when considering implementation. </w:t>
      </w:r>
    </w:p>
    <w:p w14:paraId="4C449C3E" w14:textId="77777777" w:rsidR="002C26E2" w:rsidRDefault="00812CB4">
      <w:pPr>
        <w:spacing w:after="111" w:line="265" w:lineRule="auto"/>
        <w:ind w:left="7"/>
      </w:pPr>
      <w:r>
        <w:rPr>
          <w:u w:val="single" w:color="000000"/>
        </w:rPr>
        <w:t>Evidence</w:t>
      </w:r>
      <w:r>
        <w:rPr>
          <w:b/>
          <w:u w:val="single" w:color="000000"/>
        </w:rPr>
        <w:t xml:space="preserve"> </w:t>
      </w:r>
      <w:r>
        <w:rPr>
          <w:u w:val="single" w:color="000000"/>
        </w:rPr>
        <w:t>and submissions</w:t>
      </w:r>
      <w:r>
        <w:rPr>
          <w:b/>
        </w:rPr>
        <w:t xml:space="preserve">  </w:t>
      </w:r>
    </w:p>
    <w:p w14:paraId="7F2AE4E4" w14:textId="77777777" w:rsidR="002C26E2" w:rsidRDefault="00812CB4">
      <w:pPr>
        <w:spacing w:after="449"/>
        <w:ind w:left="7"/>
      </w:pPr>
      <w:r>
        <w:t xml:space="preserve">Submissions were received from the CBA and SCBA (with a supplementary CBA submission). Supporting material included external analyses (e.g., Goldblatt McGuigan; BDO; Hook </w:t>
      </w:r>
      <w:proofErr w:type="spellStart"/>
      <w:r>
        <w:t>Tangaza</w:t>
      </w:r>
      <w:proofErr w:type="spellEnd"/>
      <w:r>
        <w:t>; SIB review). The Review Team considered all submissions but relied upon them only to the extent they were supported by objective, verifiable and robust evidence. Where time assumptions or survey returns could not be validated, they were not treated as a sound foundation for recommendations</w:t>
      </w:r>
      <w:r>
        <w:rPr>
          <w:b/>
        </w:rPr>
        <w:t xml:space="preserve">. </w:t>
      </w:r>
    </w:p>
    <w:p w14:paraId="2B9BEE06" w14:textId="77777777" w:rsidR="002C26E2" w:rsidRDefault="00812CB4">
      <w:pPr>
        <w:pStyle w:val="Heading2"/>
        <w:ind w:left="849" w:hanging="852"/>
      </w:pPr>
      <w:bookmarkStart w:id="4" w:name="_Toc107542"/>
      <w:r>
        <w:rPr>
          <w:color w:val="004E9A"/>
          <w:sz w:val="28"/>
        </w:rPr>
        <w:t>H</w:t>
      </w:r>
      <w:r>
        <w:rPr>
          <w:color w:val="004E9A"/>
        </w:rPr>
        <w:t>EADLINE</w:t>
      </w:r>
      <w:r>
        <w:t xml:space="preserve"> CONCLUSIONS</w:t>
      </w:r>
      <w:r>
        <w:rPr>
          <w:sz w:val="28"/>
        </w:rPr>
        <w:t xml:space="preserve"> </w:t>
      </w:r>
      <w:bookmarkEnd w:id="4"/>
    </w:p>
    <w:p w14:paraId="180724F0" w14:textId="77777777" w:rsidR="002C26E2" w:rsidRDefault="00812CB4">
      <w:pPr>
        <w:spacing w:after="132"/>
        <w:ind w:left="849" w:right="225" w:hanging="852"/>
      </w:pPr>
      <w:r>
        <w:t xml:space="preserve">1.4.1 </w:t>
      </w:r>
      <w:r>
        <w:tab/>
      </w:r>
      <w:r>
        <w:rPr>
          <w:b/>
        </w:rPr>
        <w:t xml:space="preserve">Inflation is not, by itself, a sufficiently robust basis for determining further fee uplifts </w:t>
      </w:r>
      <w:r>
        <w:t>within the Accelerated Review, given volatility, divergence between measures, and the difficulty of selecting an objectively appropriate inflation index.</w:t>
      </w:r>
      <w:r>
        <w:rPr>
          <w:b/>
        </w:rPr>
        <w:t xml:space="preserve"> </w:t>
      </w:r>
    </w:p>
    <w:p w14:paraId="6520CCF9" w14:textId="77777777" w:rsidR="002C26E2" w:rsidRDefault="00812CB4">
      <w:pPr>
        <w:spacing w:after="132"/>
        <w:ind w:left="849" w:right="225" w:hanging="852"/>
      </w:pPr>
      <w:r>
        <w:t xml:space="preserve">1.4.2 </w:t>
      </w:r>
      <w:r>
        <w:tab/>
      </w:r>
      <w:r>
        <w:rPr>
          <w:b/>
        </w:rPr>
        <w:t xml:space="preserve">Wage-based public-sector comparators provide a more defensible benchmark. </w:t>
      </w:r>
      <w:r>
        <w:t>The Review Team therefore used comparator sectors within the publicly funded NI system (Senior Civil Service and the Judiciary) to inform a recommended range.</w:t>
      </w:r>
      <w:r>
        <w:rPr>
          <w:b/>
        </w:rPr>
        <w:t xml:space="preserve"> </w:t>
      </w:r>
    </w:p>
    <w:p w14:paraId="366458BB" w14:textId="77777777" w:rsidR="002C26E2" w:rsidRDefault="00812CB4">
      <w:pPr>
        <w:spacing w:after="0"/>
        <w:ind w:left="849" w:hanging="852"/>
      </w:pPr>
      <w:r>
        <w:t xml:space="preserve">1.4.3 </w:t>
      </w:r>
      <w:r>
        <w:tab/>
      </w:r>
      <w:r>
        <w:rPr>
          <w:b/>
        </w:rPr>
        <w:t xml:space="preserve">Standard fees: recommend an overall uplift of 26.05% (subject to affordability), </w:t>
      </w:r>
      <w:r>
        <w:t xml:space="preserve">of which 16% has already been implemented for relevant fees; this implies an additional uplift on already-uplifted fees of approximately </w:t>
      </w:r>
    </w:p>
    <w:p w14:paraId="42ACC378" w14:textId="77777777" w:rsidR="002C26E2" w:rsidRDefault="00812CB4">
      <w:pPr>
        <w:spacing w:after="256" w:line="259" w:lineRule="auto"/>
        <w:ind w:left="862" w:right="225"/>
      </w:pPr>
      <w:r>
        <w:t>8.66% to reach the overall position</w:t>
      </w:r>
      <w:r>
        <w:rPr>
          <w:b/>
        </w:rPr>
        <w:t xml:space="preserve">. </w:t>
      </w:r>
    </w:p>
    <w:p w14:paraId="78D39BA5" w14:textId="77777777" w:rsidR="002C26E2" w:rsidRDefault="00812CB4">
      <w:pPr>
        <w:spacing w:after="113" w:line="363" w:lineRule="auto"/>
        <w:ind w:left="849" w:hanging="852"/>
      </w:pPr>
      <w:r>
        <w:t xml:space="preserve">1.4.4 </w:t>
      </w:r>
      <w:r>
        <w:tab/>
      </w:r>
      <w:r>
        <w:rPr>
          <w:b/>
        </w:rPr>
        <w:t xml:space="preserve">Exceptional Preparation (EP) is being used extensively to remunerate routine reading work </w:t>
      </w:r>
      <w:r>
        <w:t xml:space="preserve">(notably PPE), indicating misalignment between EP’s </w:t>
      </w:r>
      <w:r>
        <w:t>intended purpose and its current use in practice.</w:t>
      </w:r>
      <w:r>
        <w:rPr>
          <w:b/>
        </w:rPr>
        <w:t xml:space="preserve"> </w:t>
      </w:r>
    </w:p>
    <w:p w14:paraId="69070CF6" w14:textId="77777777" w:rsidR="002C26E2" w:rsidRDefault="00812CB4">
      <w:pPr>
        <w:spacing w:after="451"/>
        <w:ind w:left="849" w:right="225" w:hanging="852"/>
      </w:pPr>
      <w:r>
        <w:t xml:space="preserve">1.4.5 </w:t>
      </w:r>
      <w:r>
        <w:tab/>
      </w:r>
      <w:r>
        <w:rPr>
          <w:b/>
        </w:rPr>
        <w:t xml:space="preserve">Targeted reform (PPE and AV) can reduce administrative burden </w:t>
      </w:r>
      <w:r>
        <w:t>and improve transparency, while better aligning payment with the underlying work and supporting value for money.</w:t>
      </w:r>
      <w:r>
        <w:rPr>
          <w:b/>
        </w:rPr>
        <w:t xml:space="preserve"> </w:t>
      </w:r>
    </w:p>
    <w:p w14:paraId="4E893BAB" w14:textId="77777777" w:rsidR="002C26E2" w:rsidRDefault="00812CB4">
      <w:pPr>
        <w:pStyle w:val="Heading2"/>
        <w:ind w:left="849" w:hanging="852"/>
      </w:pPr>
      <w:bookmarkStart w:id="5" w:name="_Toc107543"/>
      <w:r>
        <w:rPr>
          <w:color w:val="004E9A"/>
          <w:sz w:val="28"/>
        </w:rPr>
        <w:t>I</w:t>
      </w:r>
      <w:r>
        <w:rPr>
          <w:color w:val="004E9A"/>
        </w:rPr>
        <w:t>MPLICATIONS</w:t>
      </w:r>
      <w:r>
        <w:t xml:space="preserve"> FOR DELIVERY</w:t>
      </w:r>
      <w:r>
        <w:rPr>
          <w:sz w:val="28"/>
        </w:rPr>
        <w:t>,</w:t>
      </w:r>
      <w:r>
        <w:t xml:space="preserve"> COST AND VALUE FOR MONEY</w:t>
      </w:r>
      <w:r>
        <w:rPr>
          <w:sz w:val="28"/>
        </w:rPr>
        <w:t xml:space="preserve"> </w:t>
      </w:r>
      <w:bookmarkEnd w:id="5"/>
    </w:p>
    <w:p w14:paraId="01C2E418" w14:textId="77777777" w:rsidR="002C26E2" w:rsidRDefault="00812CB4">
      <w:pPr>
        <w:spacing w:after="111" w:line="265" w:lineRule="auto"/>
        <w:ind w:left="7"/>
      </w:pPr>
      <w:r>
        <w:rPr>
          <w:u w:val="single" w:color="000000"/>
        </w:rPr>
        <w:t>Affordability and budget impact</w:t>
      </w:r>
      <w:r>
        <w:rPr>
          <w:b/>
        </w:rPr>
        <w:t xml:space="preserve">  </w:t>
      </w:r>
    </w:p>
    <w:p w14:paraId="2CB51F72" w14:textId="77777777" w:rsidR="002C26E2" w:rsidRDefault="00812CB4">
      <w:pPr>
        <w:ind w:left="7"/>
      </w:pPr>
      <w:r>
        <w:t xml:space="preserve">The recommended standard-fee uplift is explicitly subject to affordability testing by the Department. Specific-fee reforms (PPE and Audio Visual) are intended to improve targeting of spend and reduce reliance on </w:t>
      </w:r>
      <w:proofErr w:type="gramStart"/>
      <w:r>
        <w:t>EP, but</w:t>
      </w:r>
      <w:proofErr w:type="gramEnd"/>
      <w:r>
        <w:t xml:space="preserve"> may change the profile of costs (including potential savings from reduced EP claims and administrative processing). </w:t>
      </w:r>
    </w:p>
    <w:p w14:paraId="3B843122" w14:textId="77777777" w:rsidR="002C26E2" w:rsidRDefault="00812CB4">
      <w:pPr>
        <w:spacing w:after="111" w:line="265" w:lineRule="auto"/>
        <w:ind w:left="7"/>
      </w:pPr>
      <w:r>
        <w:rPr>
          <w:u w:val="single" w:color="000000"/>
        </w:rPr>
        <w:t>Administrative efficiency</w:t>
      </w:r>
      <w:r>
        <w:rPr>
          <w:b/>
        </w:rPr>
        <w:t xml:space="preserve">  </w:t>
      </w:r>
    </w:p>
    <w:p w14:paraId="595DB23A" w14:textId="77777777" w:rsidR="002C26E2" w:rsidRDefault="00812CB4">
      <w:pPr>
        <w:ind w:left="7"/>
      </w:pPr>
      <w:r>
        <w:t xml:space="preserve">Moving routine PPE reading and Audio Visual (AV) review away from EP should reduce application volumes and assessment workload for practitioners and the Legal Services Agency, improving predictability and transparency. </w:t>
      </w:r>
    </w:p>
    <w:p w14:paraId="7A8B42D8" w14:textId="77777777" w:rsidR="002C26E2" w:rsidRDefault="00812CB4">
      <w:pPr>
        <w:spacing w:after="111" w:line="265" w:lineRule="auto"/>
        <w:ind w:left="7"/>
      </w:pPr>
      <w:r>
        <w:rPr>
          <w:u w:val="single" w:color="000000"/>
        </w:rPr>
        <w:t>Targeting public funds</w:t>
      </w:r>
      <w:r>
        <w:t xml:space="preserve">  </w:t>
      </w:r>
    </w:p>
    <w:p w14:paraId="4B904843" w14:textId="77777777" w:rsidR="002C26E2" w:rsidRDefault="00812CB4">
      <w:pPr>
        <w:ind w:left="7" w:right="225"/>
      </w:pPr>
      <w:r>
        <w:t xml:space="preserve">The recommendations aim to align payment mechanisms more closely with the underlying work (pages read, hours of AV reviewed, hours of consultation), supporting clearer </w:t>
      </w:r>
      <w:proofErr w:type="spellStart"/>
      <w:r>
        <w:t>VfM</w:t>
      </w:r>
      <w:proofErr w:type="spellEnd"/>
      <w:r>
        <w:t xml:space="preserve"> assessment and future monitoring. </w:t>
      </w:r>
    </w:p>
    <w:p w14:paraId="79310C7A" w14:textId="77777777" w:rsidR="002C26E2" w:rsidRDefault="00812CB4">
      <w:pPr>
        <w:spacing w:after="111" w:line="265" w:lineRule="auto"/>
        <w:ind w:left="7"/>
      </w:pPr>
      <w:r>
        <w:rPr>
          <w:u w:val="single" w:color="000000"/>
        </w:rPr>
        <w:t>System context</w:t>
      </w:r>
      <w:r>
        <w:rPr>
          <w:b/>
        </w:rPr>
        <w:t xml:space="preserve">  </w:t>
      </w:r>
    </w:p>
    <w:p w14:paraId="69B891DD" w14:textId="77777777" w:rsidR="002C26E2" w:rsidRDefault="00812CB4">
      <w:pPr>
        <w:spacing w:after="451"/>
        <w:ind w:left="7" w:right="225"/>
      </w:pPr>
      <w:r>
        <w:t xml:space="preserve">Wider justice-system </w:t>
      </w:r>
      <w:proofErr w:type="spellStart"/>
      <w:r>
        <w:t>VfM</w:t>
      </w:r>
      <w:proofErr w:type="spellEnd"/>
      <w:r>
        <w:t xml:space="preserve"> challenges mean that remuneration changes should, where possible, be accompanied by continued work on process and structural reforms to prevent cost escalation without commensurate system benefit. </w:t>
      </w:r>
    </w:p>
    <w:p w14:paraId="4F82086A" w14:textId="77777777" w:rsidR="00554D9A" w:rsidRDefault="00554D9A">
      <w:pPr>
        <w:spacing w:after="451"/>
        <w:ind w:left="7" w:right="225"/>
      </w:pPr>
    </w:p>
    <w:p w14:paraId="68C0BAB4" w14:textId="77777777" w:rsidR="002C26E2" w:rsidRDefault="00812CB4">
      <w:pPr>
        <w:pStyle w:val="Heading2"/>
        <w:ind w:left="849" w:hanging="852"/>
      </w:pPr>
      <w:bookmarkStart w:id="6" w:name="_Toc107544"/>
      <w:r>
        <w:rPr>
          <w:color w:val="004E9A"/>
          <w:sz w:val="28"/>
        </w:rPr>
        <w:t>I</w:t>
      </w:r>
      <w:r>
        <w:rPr>
          <w:color w:val="004E9A"/>
        </w:rPr>
        <w:t>MPLEMENTATION</w:t>
      </w:r>
      <w:r>
        <w:t xml:space="preserve"> </w:t>
      </w:r>
      <w:r>
        <w:t>CONSIDERATIONS AND NEXT STEPS</w:t>
      </w:r>
      <w:r>
        <w:rPr>
          <w:sz w:val="28"/>
        </w:rPr>
        <w:t xml:space="preserve"> </w:t>
      </w:r>
      <w:bookmarkEnd w:id="6"/>
    </w:p>
    <w:p w14:paraId="44C7690D" w14:textId="77777777" w:rsidR="002C26E2" w:rsidRDefault="00812CB4">
      <w:pPr>
        <w:spacing w:after="111" w:line="265" w:lineRule="auto"/>
        <w:ind w:left="7"/>
      </w:pPr>
      <w:r>
        <w:rPr>
          <w:u w:val="single" w:color="000000"/>
        </w:rPr>
        <w:t>Sequencing</w:t>
      </w:r>
      <w:r>
        <w:t xml:space="preserve">  </w:t>
      </w:r>
    </w:p>
    <w:p w14:paraId="3115F383" w14:textId="77777777" w:rsidR="002C26E2" w:rsidRDefault="00812CB4">
      <w:pPr>
        <w:spacing w:after="0"/>
        <w:ind w:left="7"/>
      </w:pPr>
      <w:r>
        <w:t>Consider implementing (</w:t>
      </w:r>
      <w:proofErr w:type="spellStart"/>
      <w:r>
        <w:t>i</w:t>
      </w:r>
      <w:proofErr w:type="spellEnd"/>
      <w:r>
        <w:t xml:space="preserve">) the general standard-fee uplift decision (subject to affordability), and (ii) the PPE/EP reforms as a linked package to reduce substitution effects and unintended incentives. </w:t>
      </w:r>
    </w:p>
    <w:p w14:paraId="322BAF9F" w14:textId="77777777" w:rsidR="002C26E2" w:rsidRDefault="00812CB4">
      <w:pPr>
        <w:spacing w:after="0" w:line="259" w:lineRule="auto"/>
        <w:ind w:left="0" w:firstLine="0"/>
      </w:pPr>
      <w:r>
        <w:t xml:space="preserve"> </w:t>
      </w:r>
    </w:p>
    <w:p w14:paraId="50FD4818" w14:textId="77777777" w:rsidR="002C26E2" w:rsidRDefault="00812CB4">
      <w:pPr>
        <w:spacing w:after="109" w:line="265" w:lineRule="auto"/>
        <w:ind w:left="7"/>
      </w:pPr>
      <w:r>
        <w:rPr>
          <w:u w:val="single" w:color="000000"/>
        </w:rPr>
        <w:t>Controls and monitoring</w:t>
      </w:r>
      <w:r>
        <w:t xml:space="preserve">  </w:t>
      </w:r>
    </w:p>
    <w:p w14:paraId="1FC398B0" w14:textId="77777777" w:rsidR="002C26E2" w:rsidRDefault="00812CB4">
      <w:pPr>
        <w:ind w:left="7"/>
      </w:pPr>
      <w:r>
        <w:t xml:space="preserve">The </w:t>
      </w:r>
      <w:r>
        <w:t xml:space="preserve">Legal Services Agency should monitor PPE claims and AV review claims under the revised framework, including thresholds, anomalies, and evidence requirements, to support </w:t>
      </w:r>
      <w:proofErr w:type="spellStart"/>
      <w:r>
        <w:t>VfM</w:t>
      </w:r>
      <w:proofErr w:type="spellEnd"/>
      <w:r>
        <w:t xml:space="preserve"> and reduce gaming risk. </w:t>
      </w:r>
    </w:p>
    <w:p w14:paraId="2DC554DB" w14:textId="77777777" w:rsidR="002C26E2" w:rsidRDefault="00812CB4">
      <w:pPr>
        <w:spacing w:after="109" w:line="265" w:lineRule="auto"/>
        <w:ind w:left="7"/>
      </w:pPr>
      <w:r>
        <w:rPr>
          <w:u w:val="single" w:color="000000"/>
        </w:rPr>
        <w:t>Guidance and communication</w:t>
      </w:r>
      <w:r>
        <w:t xml:space="preserve">  </w:t>
      </w:r>
    </w:p>
    <w:p w14:paraId="065522E3" w14:textId="77777777" w:rsidR="002C26E2" w:rsidRDefault="00812CB4">
      <w:pPr>
        <w:ind w:left="7"/>
      </w:pPr>
      <w:r>
        <w:t xml:space="preserve">Clear operational guidance will be required for practitioners and assessors, including </w:t>
      </w:r>
      <w:r>
        <w:t>how “genuinely exceptional circumstances” are defined for residual EP use.</w:t>
      </w:r>
      <w:r>
        <w:t xml:space="preserve"> </w:t>
      </w:r>
    </w:p>
    <w:p w14:paraId="0B282354" w14:textId="77777777" w:rsidR="002C26E2" w:rsidRDefault="00812CB4">
      <w:pPr>
        <w:spacing w:after="111" w:line="265" w:lineRule="auto"/>
        <w:ind w:left="7"/>
      </w:pPr>
      <w:r>
        <w:rPr>
          <w:u w:val="single" w:color="000000"/>
        </w:rPr>
        <w:t>Data improvement</w:t>
      </w:r>
      <w:r>
        <w:t xml:space="preserve">  </w:t>
      </w:r>
    </w:p>
    <w:p w14:paraId="1DDFFE39" w14:textId="77777777" w:rsidR="002C26E2" w:rsidRDefault="00812CB4">
      <w:pPr>
        <w:spacing w:after="139"/>
        <w:ind w:left="7" w:right="225"/>
      </w:pPr>
      <w:r>
        <w:t xml:space="preserve">Continue the longer-term programme to rebuild the evidential base for the full spectrum of set fees (including time-recording and case-complexity data), recognising this is outside the Accelerated Review but essential for future reform. </w:t>
      </w:r>
    </w:p>
    <w:p w14:paraId="352886BB" w14:textId="77777777" w:rsidR="002C26E2" w:rsidRDefault="00812CB4">
      <w:pPr>
        <w:spacing w:after="0" w:line="259" w:lineRule="auto"/>
        <w:ind w:left="0" w:firstLine="0"/>
      </w:pPr>
      <w:r>
        <w:t xml:space="preserve"> </w:t>
      </w:r>
      <w:r>
        <w:tab/>
      </w:r>
      <w:r>
        <w:rPr>
          <w:b/>
          <w:color w:val="424996"/>
          <w:sz w:val="36"/>
        </w:rPr>
        <w:t xml:space="preserve"> </w:t>
      </w:r>
      <w:r>
        <w:br w:type="page"/>
      </w:r>
    </w:p>
    <w:p w14:paraId="6EC58C59" w14:textId="77777777" w:rsidR="002C26E2" w:rsidRDefault="00812CB4">
      <w:pPr>
        <w:pStyle w:val="Heading1"/>
        <w:spacing w:after="0" w:line="259" w:lineRule="auto"/>
        <w:ind w:left="837" w:hanging="852"/>
      </w:pPr>
      <w:bookmarkStart w:id="7" w:name="_Toc107545"/>
      <w:r>
        <w:rPr>
          <w:sz w:val="32"/>
        </w:rPr>
        <w:t>I</w:t>
      </w:r>
      <w:r>
        <w:rPr>
          <w:sz w:val="26"/>
        </w:rPr>
        <w:t>NTRODUCTION</w:t>
      </w:r>
      <w:r>
        <w:rPr>
          <w:color w:val="000000"/>
          <w:sz w:val="36"/>
        </w:rPr>
        <w:t xml:space="preserve"> </w:t>
      </w:r>
      <w:bookmarkEnd w:id="7"/>
    </w:p>
    <w:p w14:paraId="2BA6190F" w14:textId="77777777" w:rsidR="002C26E2" w:rsidRDefault="00812CB4">
      <w:pPr>
        <w:spacing w:after="293" w:line="259" w:lineRule="auto"/>
        <w:ind w:left="-29" w:right="-38" w:firstLine="0"/>
      </w:pPr>
      <w:r>
        <w:rPr>
          <w:rFonts w:ascii="Calibri" w:eastAsia="Calibri" w:hAnsi="Calibri" w:cs="Calibri"/>
          <w:noProof/>
          <w:sz w:val="22"/>
        </w:rPr>
        <mc:AlternateContent>
          <mc:Choice Requires="wpg">
            <w:drawing>
              <wp:inline distT="0" distB="0" distL="0" distR="0" wp14:anchorId="09FF361C" wp14:editId="1ECB91E3">
                <wp:extent cx="5769610" cy="6096"/>
                <wp:effectExtent l="0" t="0" r="0" b="0"/>
                <wp:docPr id="82957" name="Group 82957"/>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09983" name="Shape 109983"/>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82957" style="width:454.3pt;height:0.47998pt;mso-position-horizontal-relative:char;mso-position-vertical-relative:line" coordsize="57696,60">
                <v:shape id="Shape 109984"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1E1C2F7D" w14:textId="77777777" w:rsidR="002C26E2" w:rsidRDefault="00812CB4">
      <w:pPr>
        <w:spacing w:after="448"/>
        <w:ind w:left="7"/>
      </w:pPr>
      <w:r>
        <w:t xml:space="preserve">This section sets out the </w:t>
      </w:r>
      <w:r>
        <w:rPr>
          <w:b/>
        </w:rPr>
        <w:t>context and genesis</w:t>
      </w:r>
      <w:r>
        <w:t xml:space="preserve"> of the Accelerated Review, including the origins of the Working Party, the conclusions reached in the Fundamental Review of August 2024, and the circumstances giving rise to the decision to fast-track specific elements of the agreed Roadmap. </w:t>
      </w:r>
    </w:p>
    <w:p w14:paraId="3A569C7C" w14:textId="77777777" w:rsidR="002C26E2" w:rsidRDefault="00812CB4">
      <w:pPr>
        <w:pStyle w:val="Heading2"/>
        <w:ind w:left="849" w:hanging="852"/>
      </w:pPr>
      <w:bookmarkStart w:id="8" w:name="_Toc107546"/>
      <w:r>
        <w:rPr>
          <w:sz w:val="28"/>
        </w:rPr>
        <w:t>O</w:t>
      </w:r>
      <w:r>
        <w:t xml:space="preserve">RIGIN OF THE </w:t>
      </w:r>
      <w:r>
        <w:rPr>
          <w:sz w:val="28"/>
        </w:rPr>
        <w:t>A</w:t>
      </w:r>
      <w:r>
        <w:t xml:space="preserve">CCELERATED </w:t>
      </w:r>
      <w:r>
        <w:rPr>
          <w:sz w:val="28"/>
        </w:rPr>
        <w:t>R</w:t>
      </w:r>
      <w:r>
        <w:t>EVIEW</w:t>
      </w:r>
      <w:r>
        <w:rPr>
          <w:sz w:val="28"/>
        </w:rPr>
        <w:t xml:space="preserve"> </w:t>
      </w:r>
      <w:bookmarkEnd w:id="8"/>
    </w:p>
    <w:p w14:paraId="27BE253A" w14:textId="77777777" w:rsidR="002C26E2" w:rsidRDefault="00812CB4">
      <w:pPr>
        <w:ind w:left="7"/>
      </w:pPr>
      <w:r>
        <w:t xml:space="preserve">On </w:t>
      </w:r>
      <w:r>
        <w:rPr>
          <w:b/>
        </w:rPr>
        <w:t>6 March 2026</w:t>
      </w:r>
      <w:r>
        <w:t xml:space="preserve">, the Department of Justice initiated an </w:t>
      </w:r>
      <w:r>
        <w:rPr>
          <w:b/>
        </w:rPr>
        <w:t>Accelerated Review</w:t>
      </w:r>
      <w:r>
        <w:t xml:space="preserve"> to fast-track specific elements of a Roadmap agreed by a Working Party. The Working Party had been established to develop an evidential base to assess whether further changes were warranted to the fee regime for advice and representation in criminal proce</w:t>
      </w:r>
      <w:r>
        <w:t>edings (“the fee regime”).</w:t>
      </w:r>
      <w:r>
        <w:t xml:space="preserve"> </w:t>
      </w:r>
    </w:p>
    <w:p w14:paraId="44A6F64A" w14:textId="77777777" w:rsidR="002C26E2" w:rsidRDefault="00812CB4">
      <w:pPr>
        <w:spacing w:after="117" w:line="259" w:lineRule="auto"/>
        <w:ind w:left="7"/>
      </w:pPr>
      <w:r>
        <w:t xml:space="preserve">The Bar Council was represented on the Working Party by members of the </w:t>
      </w:r>
      <w:r>
        <w:rPr>
          <w:b/>
        </w:rPr>
        <w:t xml:space="preserve">Criminal </w:t>
      </w:r>
    </w:p>
    <w:p w14:paraId="54435504" w14:textId="77777777" w:rsidR="002C26E2" w:rsidRDefault="00812CB4">
      <w:pPr>
        <w:spacing w:after="450" w:line="359" w:lineRule="auto"/>
        <w:ind w:left="7"/>
      </w:pPr>
      <w:r>
        <w:rPr>
          <w:b/>
        </w:rPr>
        <w:t>Bar Association (CBA)</w:t>
      </w:r>
      <w:r>
        <w:t xml:space="preserve">, and the Law Society by representatives of the </w:t>
      </w:r>
      <w:r>
        <w:rPr>
          <w:b/>
        </w:rPr>
        <w:t>Solicitors Criminal Bar Association (SCBA)</w:t>
      </w:r>
      <w:r>
        <w:t xml:space="preserve">. </w:t>
      </w:r>
    </w:p>
    <w:p w14:paraId="36215604" w14:textId="77777777" w:rsidR="002C26E2" w:rsidRDefault="00812CB4">
      <w:pPr>
        <w:pStyle w:val="Heading2"/>
        <w:spacing w:after="390"/>
        <w:ind w:left="849" w:hanging="852"/>
      </w:pPr>
      <w:bookmarkStart w:id="9" w:name="_Toc107547"/>
      <w:r>
        <w:rPr>
          <w:sz w:val="28"/>
        </w:rPr>
        <w:t>T</w:t>
      </w:r>
      <w:r>
        <w:t xml:space="preserve">HE </w:t>
      </w:r>
      <w:r>
        <w:rPr>
          <w:sz w:val="28"/>
        </w:rPr>
        <w:t>F</w:t>
      </w:r>
      <w:r>
        <w:t xml:space="preserve">UNDAMENTAL </w:t>
      </w:r>
      <w:r>
        <w:rPr>
          <w:sz w:val="28"/>
        </w:rPr>
        <w:t>R</w:t>
      </w:r>
      <w:r>
        <w:t xml:space="preserve">EVIEW </w:t>
      </w:r>
      <w:r>
        <w:rPr>
          <w:sz w:val="28"/>
        </w:rPr>
        <w:t>(A</w:t>
      </w:r>
      <w:r>
        <w:t xml:space="preserve">UGUST </w:t>
      </w:r>
      <w:r>
        <w:rPr>
          <w:sz w:val="28"/>
        </w:rPr>
        <w:t xml:space="preserve">2024) </w:t>
      </w:r>
      <w:bookmarkEnd w:id="9"/>
    </w:p>
    <w:p w14:paraId="37EDAFF2" w14:textId="77777777" w:rsidR="002C26E2" w:rsidRDefault="00812CB4">
      <w:pPr>
        <w:spacing w:after="273"/>
        <w:ind w:left="7" w:right="225"/>
      </w:pPr>
      <w:r>
        <w:t xml:space="preserve">The establishment of the Working Party followed recommendations contained in a report dated </w:t>
      </w:r>
      <w:r>
        <w:rPr>
          <w:b/>
        </w:rPr>
        <w:t>23 August 2024</w:t>
      </w:r>
      <w:r>
        <w:t xml:space="preserve"> </w:t>
      </w:r>
      <w:r>
        <w:t xml:space="preserve">(“the Fundamental Review”), which undertook a </w:t>
      </w:r>
      <w:r>
        <w:t xml:space="preserve">comprehensive examination of the fee regime. </w:t>
      </w:r>
    </w:p>
    <w:p w14:paraId="34839E3F" w14:textId="77777777" w:rsidR="002C26E2" w:rsidRDefault="00812CB4">
      <w:pPr>
        <w:spacing w:after="114"/>
        <w:ind w:left="7" w:right="225"/>
      </w:pPr>
      <w:r>
        <w:t xml:space="preserve">Relevant to the Accelerated Review, the Fundamental Review reached two key conclusions: </w:t>
      </w:r>
    </w:p>
    <w:p w14:paraId="385AADBB" w14:textId="77777777" w:rsidR="002C26E2" w:rsidRDefault="00812CB4">
      <w:pPr>
        <w:numPr>
          <w:ilvl w:val="0"/>
          <w:numId w:val="1"/>
        </w:numPr>
        <w:spacing w:after="0"/>
        <w:ind w:right="225" w:hanging="360"/>
      </w:pPr>
      <w:r>
        <w:t xml:space="preserve">The </w:t>
      </w:r>
      <w:r>
        <w:rPr>
          <w:b/>
        </w:rPr>
        <w:t>present structure</w:t>
      </w:r>
      <w:r>
        <w:t xml:space="preserve"> of the fee regime, comprising standard fees supplemented by </w:t>
      </w:r>
      <w:proofErr w:type="gramStart"/>
      <w:r>
        <w:t>a number of</w:t>
      </w:r>
      <w:proofErr w:type="gramEnd"/>
      <w:r>
        <w:t xml:space="preserve"> specific fees, should be retained; and </w:t>
      </w:r>
    </w:p>
    <w:p w14:paraId="09C7A66B" w14:textId="77777777" w:rsidR="002C26E2" w:rsidRDefault="00812CB4">
      <w:pPr>
        <w:numPr>
          <w:ilvl w:val="0"/>
          <w:numId w:val="1"/>
        </w:numPr>
        <w:spacing w:after="272"/>
        <w:ind w:right="225" w:hanging="360"/>
      </w:pPr>
      <w:r>
        <w:t xml:space="preserve">In the absence of any review of the </w:t>
      </w:r>
      <w:r>
        <w:rPr>
          <w:b/>
        </w:rPr>
        <w:t>evidential basis</w:t>
      </w:r>
      <w:r>
        <w:t xml:space="preserve"> of the fee regime since 2005, such a review should be undertaken. </w:t>
      </w:r>
    </w:p>
    <w:p w14:paraId="4B481549" w14:textId="77777777" w:rsidR="002C26E2" w:rsidRDefault="00812CB4">
      <w:pPr>
        <w:spacing w:after="398" w:line="259" w:lineRule="auto"/>
        <w:ind w:left="7" w:right="225"/>
      </w:pPr>
      <w:r>
        <w:t xml:space="preserve">These conclusions were subsequently agreed by all relevant parties. </w:t>
      </w:r>
    </w:p>
    <w:p w14:paraId="27657720" w14:textId="77777777" w:rsidR="002C26E2" w:rsidRDefault="00812CB4">
      <w:pPr>
        <w:spacing w:after="276" w:line="259" w:lineRule="auto"/>
        <w:ind w:left="0" w:firstLine="0"/>
      </w:pPr>
      <w:r>
        <w:t xml:space="preserve"> </w:t>
      </w:r>
    </w:p>
    <w:p w14:paraId="7A97C5C9" w14:textId="77777777" w:rsidR="002C26E2" w:rsidRDefault="00812CB4">
      <w:pPr>
        <w:spacing w:after="0" w:line="259" w:lineRule="auto"/>
        <w:ind w:left="0" w:firstLine="0"/>
      </w:pPr>
      <w:r>
        <w:t xml:space="preserve"> </w:t>
      </w:r>
    </w:p>
    <w:p w14:paraId="2B8BB4F2" w14:textId="77777777" w:rsidR="002C26E2" w:rsidRDefault="00812CB4">
      <w:pPr>
        <w:pStyle w:val="Heading2"/>
        <w:ind w:left="849" w:hanging="852"/>
      </w:pPr>
      <w:bookmarkStart w:id="10" w:name="_Toc107548"/>
      <w:r>
        <w:rPr>
          <w:sz w:val="28"/>
        </w:rPr>
        <w:t>E</w:t>
      </w:r>
      <w:r>
        <w:t xml:space="preserve">XISTING CHANGES AND THE </w:t>
      </w:r>
      <w:r>
        <w:rPr>
          <w:sz w:val="28"/>
        </w:rPr>
        <w:t>R</w:t>
      </w:r>
      <w:r>
        <w:t>OADMAP</w:t>
      </w:r>
      <w:r>
        <w:rPr>
          <w:sz w:val="28"/>
        </w:rPr>
        <w:t xml:space="preserve"> </w:t>
      </w:r>
      <w:bookmarkEnd w:id="10"/>
    </w:p>
    <w:p w14:paraId="29A96462" w14:textId="77777777" w:rsidR="002C26E2" w:rsidRDefault="00812CB4">
      <w:pPr>
        <w:spacing w:after="114"/>
        <w:ind w:left="7" w:right="225"/>
      </w:pPr>
      <w:r>
        <w:t xml:space="preserve">The Fundamental Review also recommended that </w:t>
      </w:r>
      <w:proofErr w:type="gramStart"/>
      <w:r>
        <w:t>a number of</w:t>
      </w:r>
      <w:proofErr w:type="gramEnd"/>
      <w:r>
        <w:t xml:space="preserve"> fee changes should be given </w:t>
      </w:r>
      <w:r>
        <w:rPr>
          <w:b/>
        </w:rPr>
        <w:t>early effect</w:t>
      </w:r>
      <w:r>
        <w:t xml:space="preserve">, including an </w:t>
      </w:r>
      <w:r>
        <w:rPr>
          <w:b/>
        </w:rPr>
        <w:t>increase of 16%</w:t>
      </w:r>
      <w:r>
        <w:t xml:space="preserve"> in certain fees for advice, assistance, and representation in criminal proceedings. That increase took effect from </w:t>
      </w:r>
      <w:r>
        <w:rPr>
          <w:b/>
        </w:rPr>
        <w:t>7 January 2026</w:t>
      </w:r>
      <w:r>
        <w:t xml:space="preserve">, backdated to </w:t>
      </w:r>
      <w:r>
        <w:rPr>
          <w:b/>
        </w:rPr>
        <w:t>1 December 2024</w:t>
      </w:r>
      <w:r>
        <w:t xml:space="preserve">. </w:t>
      </w:r>
    </w:p>
    <w:p w14:paraId="627CCD7B" w14:textId="77777777" w:rsidR="002C26E2" w:rsidRDefault="00812CB4">
      <w:pPr>
        <w:spacing w:line="259" w:lineRule="auto"/>
        <w:ind w:left="7" w:right="225"/>
      </w:pPr>
      <w:r>
        <w:t xml:space="preserve">In addition, since the establishment of the Working Party: </w:t>
      </w:r>
    </w:p>
    <w:p w14:paraId="68E3C544" w14:textId="77777777" w:rsidR="002C26E2" w:rsidRDefault="00812CB4">
      <w:pPr>
        <w:numPr>
          <w:ilvl w:val="0"/>
          <w:numId w:val="2"/>
        </w:numPr>
        <w:spacing w:line="259" w:lineRule="auto"/>
        <w:ind w:right="225" w:hanging="360"/>
      </w:pPr>
      <w:r>
        <w:t xml:space="preserve">further amendments to certain fees have been implemented; and </w:t>
      </w:r>
    </w:p>
    <w:p w14:paraId="0513BCE4" w14:textId="77777777" w:rsidR="002C26E2" w:rsidRDefault="00812CB4">
      <w:pPr>
        <w:numPr>
          <w:ilvl w:val="0"/>
          <w:numId w:val="2"/>
        </w:numPr>
        <w:spacing w:after="396" w:line="259" w:lineRule="auto"/>
        <w:ind w:right="225" w:hanging="360"/>
      </w:pPr>
      <w:proofErr w:type="gramStart"/>
      <w:r>
        <w:t>a number of</w:t>
      </w:r>
      <w:proofErr w:type="gramEnd"/>
      <w:r>
        <w:t xml:space="preserve"> </w:t>
      </w:r>
      <w:r>
        <w:rPr>
          <w:b/>
        </w:rPr>
        <w:t>pilot schemes</w:t>
      </w:r>
      <w:r>
        <w:t xml:space="preserve"> have been initiated. </w:t>
      </w:r>
    </w:p>
    <w:p w14:paraId="61421B9E" w14:textId="77777777" w:rsidR="002C26E2" w:rsidRDefault="00812CB4">
      <w:pPr>
        <w:spacing w:after="397" w:line="259" w:lineRule="auto"/>
        <w:ind w:left="7" w:right="225"/>
      </w:pPr>
      <w:r>
        <w:t xml:space="preserve">The </w:t>
      </w:r>
      <w:proofErr w:type="gramStart"/>
      <w:r>
        <w:t>Roadmap</w:t>
      </w:r>
      <w:proofErr w:type="gramEnd"/>
      <w:r>
        <w:t xml:space="preserve"> established: </w:t>
      </w:r>
    </w:p>
    <w:p w14:paraId="402A5D5B" w14:textId="77777777" w:rsidR="002C26E2" w:rsidRDefault="00812CB4">
      <w:pPr>
        <w:numPr>
          <w:ilvl w:val="0"/>
          <w:numId w:val="2"/>
        </w:numPr>
        <w:spacing w:after="399" w:line="259" w:lineRule="auto"/>
        <w:ind w:right="225" w:hanging="360"/>
      </w:pPr>
      <w:r>
        <w:t xml:space="preserve">the further fee areas to be considered, and </w:t>
      </w:r>
    </w:p>
    <w:p w14:paraId="344C478C" w14:textId="77777777" w:rsidR="002C26E2" w:rsidRDefault="00812CB4">
      <w:pPr>
        <w:numPr>
          <w:ilvl w:val="0"/>
          <w:numId w:val="2"/>
        </w:numPr>
        <w:spacing w:after="465"/>
        <w:ind w:right="225" w:hanging="360"/>
      </w:pPr>
      <w:r>
        <w:t xml:space="preserve">indicative timelines for the initial steps to be undertaken to address them. </w:t>
      </w:r>
    </w:p>
    <w:p w14:paraId="6D619761" w14:textId="77777777" w:rsidR="002C26E2" w:rsidRDefault="00812CB4">
      <w:pPr>
        <w:pStyle w:val="Heading2"/>
        <w:ind w:left="849" w:hanging="852"/>
      </w:pPr>
      <w:bookmarkStart w:id="11" w:name="_Toc107549"/>
      <w:r>
        <w:rPr>
          <w:sz w:val="28"/>
        </w:rPr>
        <w:t>D</w:t>
      </w:r>
      <w:r>
        <w:t>ECISION TO FAST</w:t>
      </w:r>
      <w:r>
        <w:rPr>
          <w:sz w:val="28"/>
        </w:rPr>
        <w:t>-</w:t>
      </w:r>
      <w:r>
        <w:t>TRACK SPECIFIC ELEMENTS</w:t>
      </w:r>
      <w:r>
        <w:rPr>
          <w:sz w:val="28"/>
        </w:rPr>
        <w:t xml:space="preserve"> </w:t>
      </w:r>
      <w:bookmarkEnd w:id="11"/>
    </w:p>
    <w:p w14:paraId="53F9560E" w14:textId="77777777" w:rsidR="002C26E2" w:rsidRDefault="00812CB4">
      <w:pPr>
        <w:spacing w:after="114"/>
        <w:ind w:left="7" w:right="225"/>
      </w:pPr>
      <w:r>
        <w:t xml:space="preserve">Following agreement of the </w:t>
      </w:r>
      <w:proofErr w:type="gramStart"/>
      <w:r>
        <w:t>Roadmap</w:t>
      </w:r>
      <w:proofErr w:type="gramEnd"/>
      <w:r>
        <w:t xml:space="preserve">, it was subsequently determined that certain elements should be </w:t>
      </w:r>
      <w:r>
        <w:rPr>
          <w:b/>
        </w:rPr>
        <w:t>fast-tracked</w:t>
      </w:r>
      <w:r>
        <w:t xml:space="preserve"> through an Accelerated Review. These elements are defined in the </w:t>
      </w:r>
      <w:r>
        <w:rPr>
          <w:b/>
        </w:rPr>
        <w:t xml:space="preserve">Terms of Reference, </w:t>
      </w:r>
      <w:r>
        <w:t xml:space="preserve">included in this report under the heading </w:t>
      </w:r>
      <w:r>
        <w:t xml:space="preserve">‘Agreed Scope’. </w:t>
      </w:r>
      <w:r>
        <w:t xml:space="preserve"> </w:t>
      </w:r>
    </w:p>
    <w:p w14:paraId="1F672DA1" w14:textId="77777777" w:rsidR="002C26E2" w:rsidRDefault="00812CB4">
      <w:pPr>
        <w:spacing w:line="259" w:lineRule="auto"/>
        <w:ind w:left="7" w:right="225"/>
      </w:pPr>
      <w:r>
        <w:t xml:space="preserve">For convenience, those elements are summarised as: </w:t>
      </w:r>
    </w:p>
    <w:p w14:paraId="544E4B75" w14:textId="77777777" w:rsidR="002C26E2" w:rsidRDefault="00812CB4">
      <w:pPr>
        <w:numPr>
          <w:ilvl w:val="0"/>
          <w:numId w:val="3"/>
        </w:numPr>
        <w:spacing w:after="111"/>
        <w:ind w:right="225" w:hanging="355"/>
      </w:pPr>
      <w:r>
        <w:t xml:space="preserve">A </w:t>
      </w:r>
      <w:r>
        <w:rPr>
          <w:b/>
        </w:rPr>
        <w:t>general review</w:t>
      </w:r>
      <w:r>
        <w:t xml:space="preserve"> of the level of criminal legal aid remuneration for practitioners; </w:t>
      </w:r>
    </w:p>
    <w:p w14:paraId="5AB1BCC4" w14:textId="77777777" w:rsidR="002C26E2" w:rsidRDefault="00812CB4">
      <w:pPr>
        <w:numPr>
          <w:ilvl w:val="0"/>
          <w:numId w:val="3"/>
        </w:numPr>
        <w:spacing w:after="120" w:line="259" w:lineRule="auto"/>
        <w:ind w:right="225" w:hanging="355"/>
      </w:pPr>
      <w:r>
        <w:t xml:space="preserve">A review of work undertaken by </w:t>
      </w:r>
      <w:r>
        <w:rPr>
          <w:b/>
        </w:rPr>
        <w:t>barristers in the Crown Court</w:t>
      </w:r>
      <w:r>
        <w:t xml:space="preserve">, including: </w:t>
      </w:r>
    </w:p>
    <w:p w14:paraId="6FA38F4E" w14:textId="77777777" w:rsidR="002C26E2" w:rsidRDefault="00812CB4">
      <w:pPr>
        <w:numPr>
          <w:ilvl w:val="1"/>
          <w:numId w:val="3"/>
        </w:numPr>
        <w:spacing w:after="3"/>
        <w:ind w:right="3387" w:hanging="360"/>
      </w:pPr>
      <w:r>
        <w:t xml:space="preserve">Exceptional Preparation; </w:t>
      </w:r>
      <w:r>
        <w:rPr>
          <w:rFonts w:ascii="Courier New" w:eastAsia="Courier New" w:hAnsi="Courier New" w:cs="Courier New"/>
          <w:sz w:val="20"/>
        </w:rPr>
        <w:t>o</w:t>
      </w:r>
      <w:r>
        <w:rPr>
          <w:sz w:val="20"/>
        </w:rPr>
        <w:t xml:space="preserve"> </w:t>
      </w:r>
      <w:r>
        <w:t xml:space="preserve">Consultations; and </w:t>
      </w:r>
    </w:p>
    <w:p w14:paraId="70BD96F3" w14:textId="77777777" w:rsidR="002C26E2" w:rsidRDefault="00812CB4">
      <w:pPr>
        <w:numPr>
          <w:ilvl w:val="1"/>
          <w:numId w:val="3"/>
        </w:numPr>
        <w:spacing w:line="259" w:lineRule="auto"/>
        <w:ind w:right="3387" w:hanging="360"/>
      </w:pPr>
      <w:r>
        <w:t xml:space="preserve">Sentencing skeleton arguments; and </w:t>
      </w:r>
    </w:p>
    <w:p w14:paraId="3454CC9B" w14:textId="77777777" w:rsidR="002C26E2" w:rsidRDefault="00812CB4">
      <w:pPr>
        <w:numPr>
          <w:ilvl w:val="0"/>
          <w:numId w:val="3"/>
        </w:numPr>
        <w:spacing w:after="120" w:line="259" w:lineRule="auto"/>
        <w:ind w:right="225" w:hanging="355"/>
      </w:pPr>
      <w:r>
        <w:t>A review</w:t>
      </w:r>
      <w:r>
        <w:rPr>
          <w:b/>
        </w:rPr>
        <w:t xml:space="preserve"> </w:t>
      </w:r>
      <w:r>
        <w:t xml:space="preserve">of work undertaken by </w:t>
      </w:r>
      <w:r>
        <w:rPr>
          <w:b/>
        </w:rPr>
        <w:t>solicitors in the Crown Court</w:t>
      </w:r>
      <w:r>
        <w:t xml:space="preserve">, including: </w:t>
      </w:r>
    </w:p>
    <w:p w14:paraId="343A388A" w14:textId="77777777" w:rsidR="002C26E2" w:rsidRDefault="00812CB4">
      <w:pPr>
        <w:numPr>
          <w:ilvl w:val="1"/>
          <w:numId w:val="3"/>
        </w:numPr>
        <w:ind w:right="3387" w:hanging="360"/>
      </w:pPr>
      <w:r>
        <w:t xml:space="preserve">Exceptional Preparation; </w:t>
      </w:r>
      <w:r>
        <w:rPr>
          <w:rFonts w:ascii="Courier New" w:eastAsia="Courier New" w:hAnsi="Courier New" w:cs="Courier New"/>
          <w:sz w:val="20"/>
        </w:rPr>
        <w:t>o</w:t>
      </w:r>
      <w:r>
        <w:rPr>
          <w:sz w:val="20"/>
        </w:rPr>
        <w:t xml:space="preserve"> </w:t>
      </w:r>
      <w:r>
        <w:t xml:space="preserve">Consultations; and </w:t>
      </w:r>
      <w:r>
        <w:rPr>
          <w:rFonts w:ascii="Courier New" w:eastAsia="Courier New" w:hAnsi="Courier New" w:cs="Courier New"/>
          <w:sz w:val="20"/>
        </w:rPr>
        <w:t>o</w:t>
      </w:r>
      <w:r>
        <w:rPr>
          <w:sz w:val="20"/>
        </w:rPr>
        <w:t xml:space="preserve"> </w:t>
      </w:r>
      <w:r>
        <w:t xml:space="preserve">Consideration of audio-visual evidence. </w:t>
      </w:r>
    </w:p>
    <w:p w14:paraId="3897E4FE" w14:textId="77777777" w:rsidR="002C26E2" w:rsidRDefault="00812CB4">
      <w:pPr>
        <w:spacing w:after="449"/>
        <w:ind w:left="7"/>
      </w:pPr>
      <w:r>
        <w:t xml:space="preserve">It is noted that the general review of remuneration applies across the </w:t>
      </w:r>
      <w:r>
        <w:rPr>
          <w:b/>
        </w:rPr>
        <w:t>Magistrates’ Court, County Court appeals, and Crown Court</w:t>
      </w:r>
      <w:r>
        <w:t xml:space="preserve">, whereas the remaining elements focus on Crown Court work. </w:t>
      </w:r>
    </w:p>
    <w:p w14:paraId="3638BC77" w14:textId="77777777" w:rsidR="002C26E2" w:rsidRDefault="00812CB4">
      <w:pPr>
        <w:pStyle w:val="Heading2"/>
        <w:ind w:left="849" w:hanging="852"/>
      </w:pPr>
      <w:bookmarkStart w:id="12" w:name="_Toc107550"/>
      <w:r>
        <w:rPr>
          <w:sz w:val="28"/>
        </w:rPr>
        <w:t>G</w:t>
      </w:r>
      <w:r>
        <w:t>OVERNANCE AND TIMELINE</w:t>
      </w:r>
      <w:r>
        <w:rPr>
          <w:sz w:val="28"/>
        </w:rPr>
        <w:t xml:space="preserve"> </w:t>
      </w:r>
      <w:bookmarkEnd w:id="12"/>
    </w:p>
    <w:p w14:paraId="39A2F30E" w14:textId="77777777" w:rsidR="002C26E2" w:rsidRDefault="00812CB4">
      <w:pPr>
        <w:ind w:left="7"/>
      </w:pPr>
      <w:r>
        <w:t xml:space="preserve">The Terms of Reference for the Accelerated Review were agreed by the Department of Justice, the Bar Council, and the Law Society on </w:t>
      </w:r>
      <w:r>
        <w:rPr>
          <w:b/>
        </w:rPr>
        <w:t>6 March 2026</w:t>
      </w:r>
      <w:r>
        <w:t xml:space="preserve">. </w:t>
      </w:r>
    </w:p>
    <w:p w14:paraId="3B53210D" w14:textId="77777777" w:rsidR="002C26E2" w:rsidRDefault="00812CB4">
      <w:pPr>
        <w:spacing w:line="259" w:lineRule="auto"/>
        <w:ind w:left="7" w:right="225"/>
      </w:pPr>
      <w:r>
        <w:t xml:space="preserve">The materials made available to the Review Team included: </w:t>
      </w:r>
    </w:p>
    <w:p w14:paraId="7F27B5B4" w14:textId="77777777" w:rsidR="002C26E2" w:rsidRDefault="00812CB4">
      <w:pPr>
        <w:numPr>
          <w:ilvl w:val="0"/>
          <w:numId w:val="4"/>
        </w:numPr>
        <w:spacing w:line="259" w:lineRule="auto"/>
        <w:ind w:right="225" w:hanging="355"/>
      </w:pPr>
      <w:r>
        <w:t xml:space="preserve">the Fundamental Review of August 2024 and its appendices; </w:t>
      </w:r>
    </w:p>
    <w:p w14:paraId="3172AD42" w14:textId="77777777" w:rsidR="002C26E2" w:rsidRDefault="00812CB4">
      <w:pPr>
        <w:numPr>
          <w:ilvl w:val="0"/>
          <w:numId w:val="4"/>
        </w:numPr>
        <w:spacing w:after="112"/>
        <w:ind w:right="225" w:hanging="355"/>
      </w:pPr>
      <w:r>
        <w:t xml:space="preserve">reports produced by the Working Party, between March and November 2025; and </w:t>
      </w:r>
    </w:p>
    <w:p w14:paraId="176D81FD" w14:textId="77777777" w:rsidR="002C26E2" w:rsidRDefault="00812CB4">
      <w:pPr>
        <w:numPr>
          <w:ilvl w:val="0"/>
          <w:numId w:val="4"/>
        </w:numPr>
        <w:spacing w:after="357" w:line="259" w:lineRule="auto"/>
        <w:ind w:right="225" w:hanging="355"/>
      </w:pPr>
      <w:r>
        <w:t xml:space="preserve">additional reports and information informing that work. </w:t>
      </w:r>
    </w:p>
    <w:p w14:paraId="5F20858C" w14:textId="77777777" w:rsidR="002C26E2" w:rsidRDefault="00812CB4">
      <w:pPr>
        <w:spacing w:after="447"/>
        <w:ind w:left="7" w:right="225"/>
      </w:pPr>
      <w:r>
        <w:t xml:space="preserve">At the first meeting of the parties on 6 March 2026, submissions relevant to the agreed scope were invited by </w:t>
      </w:r>
      <w:r>
        <w:rPr>
          <w:b/>
        </w:rPr>
        <w:t>13 March 2026</w:t>
      </w:r>
      <w:r>
        <w:t xml:space="preserve">, with enquiries arising from those submissions to be undertaken by </w:t>
      </w:r>
      <w:r>
        <w:rPr>
          <w:b/>
        </w:rPr>
        <w:t>20 March 2026</w:t>
      </w:r>
      <w:r>
        <w:t xml:space="preserve">. </w:t>
      </w:r>
    </w:p>
    <w:p w14:paraId="7DB0465D" w14:textId="77777777" w:rsidR="002C26E2" w:rsidRDefault="00812CB4">
      <w:pPr>
        <w:pStyle w:val="Heading2"/>
        <w:spacing w:after="392"/>
        <w:ind w:left="849" w:hanging="852"/>
      </w:pPr>
      <w:bookmarkStart w:id="13" w:name="_Toc107551"/>
      <w:r>
        <w:rPr>
          <w:sz w:val="28"/>
        </w:rPr>
        <w:t>E</w:t>
      </w:r>
      <w:r>
        <w:t>VIDENTIAL REQUIREMENTS</w:t>
      </w:r>
      <w:r>
        <w:rPr>
          <w:sz w:val="28"/>
        </w:rPr>
        <w:t xml:space="preserve"> </w:t>
      </w:r>
      <w:bookmarkEnd w:id="13"/>
    </w:p>
    <w:p w14:paraId="6E885D50" w14:textId="77777777" w:rsidR="002C26E2" w:rsidRDefault="00812CB4">
      <w:pPr>
        <w:spacing w:after="445"/>
        <w:ind w:left="7" w:right="225"/>
      </w:pPr>
      <w:r>
        <w:t>The Terms of Reference require that any recommendations arising from the Accelerated Review be supported by evidence that is</w:t>
      </w:r>
      <w:r>
        <w:rPr>
          <w:b/>
        </w:rPr>
        <w:t xml:space="preserve"> statistically valid, verified, and sufficiently objective and robust</w:t>
      </w:r>
      <w:r>
        <w:t xml:space="preserve">, within the necessarily compressed timescale of the exercise. The final report required to be provided no later than </w:t>
      </w:r>
      <w:r>
        <w:rPr>
          <w:b/>
        </w:rPr>
        <w:t>27 April 2026</w:t>
      </w:r>
      <w:r>
        <w:t xml:space="preserve">. </w:t>
      </w:r>
    </w:p>
    <w:p w14:paraId="0070A5E6" w14:textId="77777777" w:rsidR="002C26E2" w:rsidRDefault="00812CB4">
      <w:pPr>
        <w:pStyle w:val="Heading2"/>
        <w:ind w:left="849" w:hanging="852"/>
      </w:pPr>
      <w:bookmarkStart w:id="14" w:name="_Toc107552"/>
      <w:r>
        <w:rPr>
          <w:sz w:val="28"/>
        </w:rPr>
        <w:t>B</w:t>
      </w:r>
      <w:r>
        <w:t xml:space="preserve">ASIS OF THE </w:t>
      </w:r>
      <w:r>
        <w:rPr>
          <w:sz w:val="28"/>
        </w:rPr>
        <w:t>R</w:t>
      </w:r>
      <w:r>
        <w:t>EVIEW</w:t>
      </w:r>
      <w:r>
        <w:rPr>
          <w:sz w:val="28"/>
        </w:rPr>
        <w:t xml:space="preserve"> </w:t>
      </w:r>
      <w:bookmarkEnd w:id="14"/>
    </w:p>
    <w:p w14:paraId="7C992851" w14:textId="77777777" w:rsidR="002C26E2" w:rsidRDefault="00812CB4">
      <w:pPr>
        <w:spacing w:after="0"/>
        <w:ind w:left="7" w:right="225"/>
      </w:pPr>
      <w:r>
        <w:t xml:space="preserve">This section sets out the </w:t>
      </w:r>
      <w:r>
        <w:rPr>
          <w:b/>
        </w:rPr>
        <w:t>legal, statutory, and procedural basis</w:t>
      </w:r>
      <w:r>
        <w:t xml:space="preserve"> on which the Accelerated Review has been conducted. It explains: </w:t>
      </w:r>
    </w:p>
    <w:p w14:paraId="1AAC9B5F" w14:textId="77777777" w:rsidR="002C26E2" w:rsidRDefault="00812CB4">
      <w:pPr>
        <w:numPr>
          <w:ilvl w:val="0"/>
          <w:numId w:val="5"/>
        </w:numPr>
        <w:spacing w:after="116" w:line="259" w:lineRule="auto"/>
        <w:ind w:right="225" w:hanging="360"/>
      </w:pPr>
      <w:r>
        <w:t xml:space="preserve">the statutory framework governing criminal legal aid remuneration; </w:t>
      </w:r>
    </w:p>
    <w:p w14:paraId="6AD158C3" w14:textId="77777777" w:rsidR="002C26E2" w:rsidRDefault="00812CB4">
      <w:pPr>
        <w:numPr>
          <w:ilvl w:val="0"/>
          <w:numId w:val="5"/>
        </w:numPr>
        <w:spacing w:after="118" w:line="259" w:lineRule="auto"/>
        <w:ind w:right="225" w:hanging="360"/>
      </w:pPr>
      <w:r>
        <w:t xml:space="preserve">the relevance of Article 37 of the Legal Aid, Advice and Assistance (Northern </w:t>
      </w:r>
    </w:p>
    <w:p w14:paraId="7C471517" w14:textId="77777777" w:rsidR="002C26E2" w:rsidRDefault="00812CB4">
      <w:pPr>
        <w:spacing w:line="259" w:lineRule="auto"/>
        <w:ind w:left="730" w:right="225"/>
      </w:pPr>
      <w:r>
        <w:t xml:space="preserve">Ireland) Order 1981; </w:t>
      </w:r>
    </w:p>
    <w:p w14:paraId="4E01150E" w14:textId="77777777" w:rsidR="002C26E2" w:rsidRDefault="00812CB4">
      <w:pPr>
        <w:numPr>
          <w:ilvl w:val="0"/>
          <w:numId w:val="5"/>
        </w:numPr>
        <w:spacing w:after="0"/>
        <w:ind w:right="225" w:hanging="360"/>
      </w:pPr>
      <w:r>
        <w:t xml:space="preserve">the approach taken to statutory criteria, affordability, and evidential robustness; and </w:t>
      </w:r>
    </w:p>
    <w:p w14:paraId="1A91A41D" w14:textId="77777777" w:rsidR="002C26E2" w:rsidRDefault="00812CB4">
      <w:pPr>
        <w:numPr>
          <w:ilvl w:val="0"/>
          <w:numId w:val="5"/>
        </w:numPr>
        <w:spacing w:after="464"/>
        <w:ind w:right="225" w:hanging="360"/>
      </w:pPr>
      <w:r>
        <w:t xml:space="preserve">the parameters within which recommendations have been developed. </w:t>
      </w:r>
    </w:p>
    <w:p w14:paraId="6051A0D5" w14:textId="77777777" w:rsidR="002C26E2" w:rsidRDefault="00812CB4">
      <w:pPr>
        <w:pStyle w:val="Heading2"/>
        <w:spacing w:after="389"/>
        <w:ind w:left="849" w:hanging="852"/>
      </w:pPr>
      <w:bookmarkStart w:id="15" w:name="_Toc107553"/>
      <w:r>
        <w:rPr>
          <w:sz w:val="28"/>
        </w:rPr>
        <w:t>S</w:t>
      </w:r>
      <w:r>
        <w:t>TATUTORY FOUNDATION</w:t>
      </w:r>
      <w:r>
        <w:rPr>
          <w:sz w:val="28"/>
        </w:rPr>
        <w:t xml:space="preserve"> </w:t>
      </w:r>
      <w:bookmarkEnd w:id="15"/>
    </w:p>
    <w:p w14:paraId="36940357" w14:textId="77777777" w:rsidR="002C26E2" w:rsidRDefault="00812CB4">
      <w:pPr>
        <w:spacing w:after="274"/>
        <w:ind w:left="7"/>
      </w:pPr>
      <w:r>
        <w:t xml:space="preserve">The Accelerated Review has been conducted in accordance with the </w:t>
      </w:r>
      <w:r>
        <w:rPr>
          <w:b/>
        </w:rPr>
        <w:t>Terms of Reference</w:t>
      </w:r>
      <w:r>
        <w:t xml:space="preserve">, including the statutory framework applicable to the criminal legal aid fee regime. </w:t>
      </w:r>
      <w:proofErr w:type="gramStart"/>
      <w:r>
        <w:t>In particular, regard</w:t>
      </w:r>
      <w:proofErr w:type="gramEnd"/>
      <w:r>
        <w:t xml:space="preserve"> has been had to Article 37 of the Legal Aid, Advice and Assistance (Northern Ireland) Order 1981, which provides. </w:t>
      </w:r>
    </w:p>
    <w:p w14:paraId="6750F306" w14:textId="77777777" w:rsidR="002C26E2" w:rsidRDefault="00812CB4">
      <w:pPr>
        <w:spacing w:after="1" w:line="361" w:lineRule="auto"/>
        <w:ind w:left="427" w:right="24"/>
      </w:pPr>
      <w:r>
        <w:rPr>
          <w:i/>
        </w:rPr>
        <w:t xml:space="preserve">“The (Department of Justice) in exercising any power to make rules as to the amounts payable under this Part to counsel or a solicitor assigned to give legal aid, and any person by whom any amount so payable is determined in a particular case, shall have regard, among the matters which are relevant, to- </w:t>
      </w:r>
    </w:p>
    <w:p w14:paraId="278825E4" w14:textId="77777777" w:rsidR="002C26E2" w:rsidRDefault="00812CB4">
      <w:pPr>
        <w:spacing w:after="115" w:line="259" w:lineRule="auto"/>
        <w:ind w:left="432" w:firstLine="0"/>
      </w:pPr>
      <w:r>
        <w:rPr>
          <w:i/>
        </w:rPr>
        <w:t xml:space="preserve"> </w:t>
      </w:r>
    </w:p>
    <w:p w14:paraId="2D226735" w14:textId="77777777" w:rsidR="002C26E2" w:rsidRDefault="00812CB4">
      <w:pPr>
        <w:numPr>
          <w:ilvl w:val="0"/>
          <w:numId w:val="6"/>
        </w:numPr>
        <w:spacing w:after="1" w:line="361" w:lineRule="auto"/>
        <w:ind w:right="24" w:hanging="360"/>
      </w:pPr>
      <w:r>
        <w:rPr>
          <w:i/>
        </w:rPr>
        <w:t xml:space="preserve">The timescale which work of the description to which the rules relate requires: </w:t>
      </w:r>
    </w:p>
    <w:p w14:paraId="1BDE2BC1" w14:textId="77777777" w:rsidR="002C26E2" w:rsidRDefault="00812CB4">
      <w:pPr>
        <w:numPr>
          <w:ilvl w:val="0"/>
          <w:numId w:val="6"/>
        </w:numPr>
        <w:spacing w:after="1" w:line="361" w:lineRule="auto"/>
        <w:ind w:right="24" w:hanging="360"/>
      </w:pPr>
      <w:r>
        <w:rPr>
          <w:i/>
        </w:rPr>
        <w:t xml:space="preserve">The number and general level and competence of persons undertaking the work of that description: </w:t>
      </w:r>
    </w:p>
    <w:p w14:paraId="35415A3D" w14:textId="77777777" w:rsidR="002C26E2" w:rsidRDefault="00812CB4">
      <w:pPr>
        <w:numPr>
          <w:ilvl w:val="0"/>
          <w:numId w:val="6"/>
        </w:numPr>
        <w:spacing w:after="115" w:line="259" w:lineRule="auto"/>
        <w:ind w:right="24" w:hanging="360"/>
      </w:pPr>
      <w:r>
        <w:rPr>
          <w:i/>
        </w:rPr>
        <w:t xml:space="preserve">The costs to public funds of any provision made by the rules: and </w:t>
      </w:r>
    </w:p>
    <w:p w14:paraId="272FA8CF" w14:textId="77777777" w:rsidR="002C26E2" w:rsidRDefault="00812CB4">
      <w:pPr>
        <w:numPr>
          <w:ilvl w:val="0"/>
          <w:numId w:val="6"/>
        </w:numPr>
        <w:spacing w:after="117" w:line="259" w:lineRule="auto"/>
        <w:ind w:right="24" w:hanging="360"/>
      </w:pPr>
      <w:r>
        <w:rPr>
          <w:i/>
        </w:rPr>
        <w:t xml:space="preserve">The need to secure value for money, </w:t>
      </w:r>
    </w:p>
    <w:p w14:paraId="6A6BCE16" w14:textId="77777777" w:rsidR="002C26E2" w:rsidRDefault="00812CB4">
      <w:pPr>
        <w:spacing w:after="115" w:line="259" w:lineRule="auto"/>
        <w:ind w:left="432" w:firstLine="0"/>
      </w:pPr>
      <w:r>
        <w:rPr>
          <w:i/>
        </w:rPr>
        <w:t xml:space="preserve"> </w:t>
      </w:r>
    </w:p>
    <w:p w14:paraId="44CE075F" w14:textId="77777777" w:rsidR="002C26E2" w:rsidRDefault="00812CB4">
      <w:pPr>
        <w:spacing w:after="460" w:line="361" w:lineRule="auto"/>
        <w:ind w:left="427" w:right="24"/>
        <w:rPr>
          <w:i/>
        </w:rPr>
      </w:pPr>
      <w:r>
        <w:rPr>
          <w:i/>
        </w:rPr>
        <w:t xml:space="preserve">but nothing in this Article shall require the Department of Justice to have regard to any fees payable to solicitors and counsel otherwise than under this part.’ </w:t>
      </w:r>
    </w:p>
    <w:p w14:paraId="1F769DD4" w14:textId="77777777" w:rsidR="00554D9A" w:rsidRDefault="00554D9A">
      <w:pPr>
        <w:spacing w:after="460" w:line="361" w:lineRule="auto"/>
        <w:ind w:left="427" w:right="24"/>
        <w:rPr>
          <w:i/>
        </w:rPr>
      </w:pPr>
    </w:p>
    <w:p w14:paraId="3721D92C" w14:textId="77777777" w:rsidR="00554D9A" w:rsidRDefault="00554D9A">
      <w:pPr>
        <w:spacing w:after="460" w:line="361" w:lineRule="auto"/>
        <w:ind w:left="427" w:right="24"/>
      </w:pPr>
    </w:p>
    <w:p w14:paraId="2EFD9823" w14:textId="77777777" w:rsidR="002C26E2" w:rsidRDefault="00812CB4">
      <w:pPr>
        <w:pStyle w:val="Heading2"/>
        <w:spacing w:after="313"/>
        <w:ind w:left="849" w:hanging="852"/>
      </w:pPr>
      <w:bookmarkStart w:id="16" w:name="_Toc107554"/>
      <w:r>
        <w:rPr>
          <w:sz w:val="28"/>
        </w:rPr>
        <w:t>A</w:t>
      </w:r>
      <w:r>
        <w:t>PPLICATION OF THE STATUTORY CRITERIA</w:t>
      </w:r>
      <w:r>
        <w:rPr>
          <w:sz w:val="28"/>
        </w:rPr>
        <w:t xml:space="preserve"> </w:t>
      </w:r>
      <w:bookmarkEnd w:id="16"/>
    </w:p>
    <w:p w14:paraId="51C23B46" w14:textId="77777777" w:rsidR="002C26E2" w:rsidRDefault="00812CB4">
      <w:pPr>
        <w:spacing w:after="349" w:line="265" w:lineRule="auto"/>
        <w:ind w:left="7"/>
      </w:pPr>
      <w:r>
        <w:rPr>
          <w:u w:val="single" w:color="000000"/>
        </w:rPr>
        <w:t>Approach adopted by the Review Team</w:t>
      </w:r>
      <w:r>
        <w:t xml:space="preserve"> </w:t>
      </w:r>
    </w:p>
    <w:p w14:paraId="2368CDFD" w14:textId="77777777" w:rsidR="002C26E2" w:rsidRDefault="00812CB4">
      <w:pPr>
        <w:ind w:left="7"/>
      </w:pPr>
      <w:r>
        <w:t xml:space="preserve">The Review Team has considered each of the statutory criteria set out in Article 37 in framing its analysis and recommendations. These criteria are addressed explicitly in separate sections of this report. In addition, the Review Team has considered as relevant the concept of </w:t>
      </w:r>
      <w:r>
        <w:rPr>
          <w:b/>
        </w:rPr>
        <w:t>affordability</w:t>
      </w:r>
      <w:r>
        <w:t xml:space="preserve">, in the context explained below, while recognising that affordability is not itself listed as a discrete statutory criterion. </w:t>
      </w:r>
    </w:p>
    <w:p w14:paraId="06B3296C" w14:textId="77777777" w:rsidR="002C26E2" w:rsidRDefault="00812CB4">
      <w:pPr>
        <w:spacing w:after="349" w:line="265" w:lineRule="auto"/>
        <w:ind w:left="7"/>
      </w:pPr>
      <w:r>
        <w:rPr>
          <w:u w:val="single" w:color="000000"/>
        </w:rPr>
        <w:t>Representations concerning affordability</w:t>
      </w:r>
      <w:r>
        <w:t xml:space="preserve"> </w:t>
      </w:r>
    </w:p>
    <w:p w14:paraId="2248C4CA" w14:textId="77777777" w:rsidR="002C26E2" w:rsidRDefault="00812CB4">
      <w:pPr>
        <w:ind w:left="7"/>
      </w:pPr>
      <w:proofErr w:type="gramStart"/>
      <w:r>
        <w:t>During the course of</w:t>
      </w:r>
      <w:proofErr w:type="gramEnd"/>
      <w:r>
        <w:t xml:space="preserve"> the Review, representations were received from the CBA seeking confirmation from the joint leaders that their considerations would be </w:t>
      </w:r>
      <w:r>
        <w:t>undertaken within the ‘statutory criteria’ rather than ‘affordability’. In that request, the ‘statutory criteria’ were set out as Article 37 (1) (a)</w:t>
      </w:r>
      <w:r>
        <w:t xml:space="preserve">-(d) inclusive. </w:t>
      </w:r>
      <w:proofErr w:type="gramStart"/>
      <w:r>
        <w:t>In particular, it</w:t>
      </w:r>
      <w:proofErr w:type="gramEnd"/>
      <w:r>
        <w:t xml:space="preserve"> was contended that affordability should not be treated as a substitute for, or overriding constraint on, the statutory criteria relating to time, skill, competence, and value for money. </w:t>
      </w:r>
    </w:p>
    <w:p w14:paraId="5CB247D5" w14:textId="77777777" w:rsidR="002C26E2" w:rsidRDefault="00812CB4">
      <w:pPr>
        <w:spacing w:after="423"/>
        <w:ind w:left="7"/>
      </w:pPr>
      <w:r>
        <w:t xml:space="preserve">The Review Team would emphasise that it has not ignored that the two factors (c) </w:t>
      </w:r>
      <w:r>
        <w:t xml:space="preserve">and (d) ‘complement the obligation to have regard to the time and skill required to </w:t>
      </w:r>
      <w:r>
        <w:t xml:space="preserve">undertake </w:t>
      </w:r>
      <w:proofErr w:type="gramStart"/>
      <w:r>
        <w:t>particular forms</w:t>
      </w:r>
      <w:proofErr w:type="gramEnd"/>
      <w:r>
        <w:t xml:space="preserve"> of work: they do not extinguish them. </w:t>
      </w:r>
      <w:r>
        <w:rPr>
          <w:u w:val="single" w:color="000000"/>
        </w:rPr>
        <w:t>In the Matter of an</w:t>
      </w:r>
      <w:r>
        <w:t xml:space="preserve"> </w:t>
      </w:r>
      <w:r>
        <w:rPr>
          <w:u w:val="single" w:color="000000"/>
        </w:rPr>
        <w:t>Application of Raymond Brownlee for Judicial Review (AP)</w:t>
      </w:r>
      <w:r>
        <w:t xml:space="preserve"> [2014] UKSC (see paragraph 3.3.6 of the Fundamental Review): or that it was common case in </w:t>
      </w:r>
      <w:r>
        <w:rPr>
          <w:u w:val="single" w:color="000000"/>
        </w:rPr>
        <w:t>The</w:t>
      </w:r>
      <w:r>
        <w:t xml:space="preserve"> </w:t>
      </w:r>
      <w:r>
        <w:rPr>
          <w:u w:val="single" w:color="000000"/>
        </w:rPr>
        <w:t>Matter of an Application by the General Council of the Bar of Northern Ireland and</w:t>
      </w:r>
      <w:r>
        <w:t xml:space="preserve"> </w:t>
      </w:r>
      <w:r>
        <w:rPr>
          <w:u w:val="single" w:color="000000"/>
        </w:rPr>
        <w:t>the Council of the Law Society of Northern Ireland in the Matter of the Validity of</w:t>
      </w:r>
      <w:r>
        <w:t xml:space="preserve"> </w:t>
      </w:r>
      <w:r>
        <w:rPr>
          <w:u w:val="single" w:color="000000"/>
        </w:rPr>
        <w:t>Subordinate Regulations</w:t>
      </w:r>
      <w:r>
        <w:t xml:space="preserve"> </w:t>
      </w:r>
      <w:r>
        <w:t xml:space="preserve">[2015] NIQB 99 that ‘the fair remuneration principle has continued to underpin the setting of fees in Northern Ireland’ (Maguire J at paragraph </w:t>
      </w:r>
      <w:r>
        <w:t xml:space="preserve">[14]) (paragraph 3.3.2 of the Fundamental Review). </w:t>
      </w:r>
    </w:p>
    <w:p w14:paraId="3E7A9709" w14:textId="77777777" w:rsidR="002C26E2" w:rsidRDefault="00812CB4">
      <w:pPr>
        <w:pStyle w:val="Heading2"/>
        <w:spacing w:after="304"/>
        <w:ind w:left="849" w:hanging="852"/>
      </w:pPr>
      <w:bookmarkStart w:id="17" w:name="_Toc107555"/>
      <w:r>
        <w:rPr>
          <w:sz w:val="28"/>
        </w:rPr>
        <w:t>A</w:t>
      </w:r>
      <w:r>
        <w:t>FFORDABILITY IN CONTEXT</w:t>
      </w:r>
      <w:r>
        <w:rPr>
          <w:sz w:val="28"/>
        </w:rPr>
        <w:t xml:space="preserve"> </w:t>
      </w:r>
      <w:bookmarkEnd w:id="17"/>
    </w:p>
    <w:p w14:paraId="00011A40" w14:textId="77777777" w:rsidR="002C26E2" w:rsidRDefault="00812CB4">
      <w:pPr>
        <w:spacing w:after="349" w:line="262" w:lineRule="auto"/>
        <w:ind w:left="7"/>
      </w:pPr>
      <w:r>
        <w:rPr>
          <w:u w:val="single" w:color="000000"/>
        </w:rPr>
        <w:t>Relationship to “cost to public funds”</w:t>
      </w:r>
      <w:r>
        <w:t xml:space="preserve"> </w:t>
      </w:r>
    </w:p>
    <w:p w14:paraId="4558C4E5" w14:textId="77777777" w:rsidR="002C26E2" w:rsidRDefault="00812CB4">
      <w:pPr>
        <w:ind w:left="7" w:right="225"/>
      </w:pPr>
      <w:r>
        <w:t xml:space="preserve">While affordability does not appear as an express statutory criterion, the Review Team considers it to be closely related to the requirement to have regard to </w:t>
      </w:r>
      <w:r>
        <w:rPr>
          <w:b/>
        </w:rPr>
        <w:t>“the cost to public funds”</w:t>
      </w:r>
      <w:r>
        <w:t xml:space="preserve">. In practical terms, these concepts are inseparable at the point of implementation. </w:t>
      </w:r>
    </w:p>
    <w:p w14:paraId="79864F25" w14:textId="77777777" w:rsidR="002C26E2" w:rsidRDefault="00812CB4">
      <w:pPr>
        <w:ind w:left="7" w:right="225"/>
      </w:pPr>
      <w:r>
        <w:t xml:space="preserve">Accordingly, the Review Team considers it important that any proposed solution be capable of being delivered within the quantum of public funds available to the Department. </w:t>
      </w:r>
    </w:p>
    <w:p w14:paraId="309730DC" w14:textId="77777777" w:rsidR="002C26E2" w:rsidRDefault="00812CB4">
      <w:pPr>
        <w:spacing w:after="349" w:line="265" w:lineRule="auto"/>
        <w:ind w:left="7"/>
      </w:pPr>
      <w:r>
        <w:rPr>
          <w:u w:val="single" w:color="000000"/>
        </w:rPr>
        <w:t>Terms of Reference</w:t>
      </w:r>
      <w:r>
        <w:t xml:space="preserve"> </w:t>
      </w:r>
    </w:p>
    <w:p w14:paraId="333A297C" w14:textId="77777777" w:rsidR="002C26E2" w:rsidRDefault="00812CB4">
      <w:pPr>
        <w:spacing w:after="159" w:line="361" w:lineRule="auto"/>
        <w:ind w:left="7" w:right="84"/>
      </w:pPr>
      <w:r>
        <w:t xml:space="preserve">In response to the CBA’s representations, the joint leaders first advised that the </w:t>
      </w:r>
      <w:r>
        <w:t xml:space="preserve">criteria set out in (a)-(d) were specific criteria to be considered along with any other </w:t>
      </w:r>
      <w:r>
        <w:t>relevant factor. The potential of ‘affordability’ being relevant is reinforced by th</w:t>
      </w:r>
      <w:r>
        <w:t xml:space="preserve">e provisions of paragraph 21 of the agreed Terms of Reference, which states: </w:t>
      </w:r>
      <w:r>
        <w:rPr>
          <w:i/>
        </w:rPr>
        <w:t xml:space="preserve">“All recommendations will be subject to consideration by the Department, and </w:t>
      </w:r>
      <w:proofErr w:type="gramStart"/>
      <w:r>
        <w:rPr>
          <w:i/>
        </w:rPr>
        <w:t>where</w:t>
      </w:r>
      <w:proofErr w:type="gramEnd"/>
      <w:r>
        <w:rPr>
          <w:i/>
        </w:rPr>
        <w:t xml:space="preserve"> considered relevant, implementation will be subject to affordability and necessary financial and Ministerial approvals.”</w:t>
      </w:r>
      <w:r>
        <w:t xml:space="preserve"> </w:t>
      </w:r>
    </w:p>
    <w:p w14:paraId="59565169" w14:textId="77777777" w:rsidR="002C26E2" w:rsidRDefault="00812CB4">
      <w:pPr>
        <w:spacing w:after="276" w:line="259" w:lineRule="auto"/>
        <w:ind w:left="7" w:right="225"/>
      </w:pPr>
      <w:r>
        <w:t xml:space="preserve">The Review Team has therefore proceeded on the basis that: </w:t>
      </w:r>
    </w:p>
    <w:p w14:paraId="5F7E2167" w14:textId="77777777" w:rsidR="002C26E2" w:rsidRDefault="00812CB4">
      <w:pPr>
        <w:numPr>
          <w:ilvl w:val="0"/>
          <w:numId w:val="7"/>
        </w:numPr>
        <w:spacing w:after="113" w:line="265" w:lineRule="auto"/>
        <w:ind w:right="112" w:hanging="360"/>
      </w:pPr>
      <w:r>
        <w:t xml:space="preserve">recommendations should be </w:t>
      </w:r>
      <w:r>
        <w:rPr>
          <w:b/>
        </w:rPr>
        <w:t>evidence-led and analytically robust</w:t>
      </w:r>
      <w:r>
        <w:t xml:space="preserve">; and </w:t>
      </w:r>
    </w:p>
    <w:p w14:paraId="04D45AB7" w14:textId="77777777" w:rsidR="002C26E2" w:rsidRDefault="00812CB4">
      <w:pPr>
        <w:numPr>
          <w:ilvl w:val="0"/>
          <w:numId w:val="7"/>
        </w:numPr>
        <w:spacing w:after="426"/>
        <w:ind w:right="112" w:hanging="360"/>
      </w:pPr>
      <w:r>
        <w:t xml:space="preserve">affordability is a matter for the </w:t>
      </w:r>
      <w:r>
        <w:rPr>
          <w:b/>
        </w:rPr>
        <w:t>Department to assess at implementation stage</w:t>
      </w:r>
      <w:r>
        <w:t xml:space="preserve">, not a factor to constrain the evidential analysis undertaken by the Review Team. </w:t>
      </w:r>
    </w:p>
    <w:p w14:paraId="61A8E057" w14:textId="77777777" w:rsidR="002C26E2" w:rsidRDefault="00812CB4">
      <w:pPr>
        <w:pStyle w:val="Heading2"/>
        <w:ind w:left="849" w:hanging="852"/>
      </w:pPr>
      <w:bookmarkStart w:id="18" w:name="_Toc107556"/>
      <w:r>
        <w:rPr>
          <w:sz w:val="28"/>
        </w:rPr>
        <w:t>E</w:t>
      </w:r>
      <w:r>
        <w:t>VIDENTIAL STANDARD AND METHODOLOGY</w:t>
      </w:r>
      <w:r>
        <w:rPr>
          <w:sz w:val="28"/>
        </w:rPr>
        <w:t xml:space="preserve"> </w:t>
      </w:r>
      <w:bookmarkEnd w:id="18"/>
    </w:p>
    <w:p w14:paraId="26B35CD9" w14:textId="77777777" w:rsidR="002C26E2" w:rsidRDefault="00812CB4">
      <w:pPr>
        <w:spacing w:after="0"/>
        <w:ind w:left="7" w:right="225"/>
      </w:pPr>
      <w:r>
        <w:t xml:space="preserve">The Terms of Reference further require that any evidence supporting recommendations be: </w:t>
      </w:r>
    </w:p>
    <w:p w14:paraId="49FDB23F" w14:textId="77777777" w:rsidR="002C26E2" w:rsidRDefault="00812CB4">
      <w:pPr>
        <w:numPr>
          <w:ilvl w:val="0"/>
          <w:numId w:val="8"/>
        </w:numPr>
        <w:spacing w:after="113" w:line="265" w:lineRule="auto"/>
        <w:ind w:hanging="360"/>
      </w:pPr>
      <w:r>
        <w:rPr>
          <w:b/>
        </w:rPr>
        <w:t>validated and verified</w:t>
      </w:r>
      <w:r>
        <w:t xml:space="preserve">; and </w:t>
      </w:r>
    </w:p>
    <w:p w14:paraId="24ABE452" w14:textId="77777777" w:rsidR="002C26E2" w:rsidRDefault="00812CB4">
      <w:pPr>
        <w:numPr>
          <w:ilvl w:val="0"/>
          <w:numId w:val="8"/>
        </w:numPr>
        <w:spacing w:after="270" w:line="265" w:lineRule="auto"/>
        <w:ind w:hanging="360"/>
      </w:pPr>
      <w:r>
        <w:rPr>
          <w:b/>
        </w:rPr>
        <w:t>statistically valid and sufficiently objective and robust</w:t>
      </w:r>
      <w:r>
        <w:t xml:space="preserve">. </w:t>
      </w:r>
    </w:p>
    <w:p w14:paraId="7162D190" w14:textId="77777777" w:rsidR="002C26E2" w:rsidRDefault="00812CB4">
      <w:pPr>
        <w:spacing w:after="420"/>
        <w:ind w:left="7"/>
      </w:pPr>
      <w:r>
        <w:t xml:space="preserve">This requirement has materially informed the Review Team’s approach to the </w:t>
      </w:r>
      <w:r>
        <w:t xml:space="preserve">assessment of submissions and underpinning data. Where evidence has not met this standard, the Review Team has declined to rely on it as a foundation for recommendations, even where assertions have been strongly advanced. </w:t>
      </w:r>
    </w:p>
    <w:p w14:paraId="770E6EDB" w14:textId="77777777" w:rsidR="002C26E2" w:rsidRDefault="00812CB4">
      <w:pPr>
        <w:pStyle w:val="Heading2"/>
        <w:ind w:left="849" w:hanging="852"/>
      </w:pPr>
      <w:bookmarkStart w:id="19" w:name="_Toc107557"/>
      <w:r>
        <w:rPr>
          <w:sz w:val="28"/>
        </w:rPr>
        <w:t>S</w:t>
      </w:r>
      <w:r>
        <w:t>UMMARY</w:t>
      </w:r>
      <w:r>
        <w:rPr>
          <w:sz w:val="28"/>
        </w:rPr>
        <w:t>:</w:t>
      </w:r>
      <w:r>
        <w:t xml:space="preserve"> </w:t>
      </w:r>
      <w:r>
        <w:rPr>
          <w:sz w:val="28"/>
        </w:rPr>
        <w:t>B</w:t>
      </w:r>
      <w:r>
        <w:t xml:space="preserve">ASIS OF THE </w:t>
      </w:r>
      <w:r>
        <w:rPr>
          <w:sz w:val="28"/>
        </w:rPr>
        <w:t>R</w:t>
      </w:r>
      <w:r>
        <w:t>EVIEW</w:t>
      </w:r>
      <w:r>
        <w:rPr>
          <w:sz w:val="28"/>
        </w:rPr>
        <w:t xml:space="preserve"> </w:t>
      </w:r>
      <w:bookmarkEnd w:id="19"/>
    </w:p>
    <w:p w14:paraId="7FBFB6F9" w14:textId="77777777" w:rsidR="002C26E2" w:rsidRDefault="00812CB4">
      <w:pPr>
        <w:spacing w:line="259" w:lineRule="auto"/>
        <w:ind w:left="7" w:right="225"/>
      </w:pPr>
      <w:r>
        <w:t xml:space="preserve">In summary: </w:t>
      </w:r>
    </w:p>
    <w:p w14:paraId="78DB728D" w14:textId="77777777" w:rsidR="002C26E2" w:rsidRDefault="00812CB4">
      <w:pPr>
        <w:numPr>
          <w:ilvl w:val="0"/>
          <w:numId w:val="9"/>
        </w:numPr>
        <w:spacing w:after="0"/>
        <w:ind w:hanging="360"/>
      </w:pPr>
      <w:r>
        <w:t xml:space="preserve">the Accelerated Review has been conducted within the statutory framework established by Article 37; </w:t>
      </w:r>
    </w:p>
    <w:p w14:paraId="15C6946B" w14:textId="77777777" w:rsidR="002C26E2" w:rsidRDefault="00812CB4">
      <w:pPr>
        <w:numPr>
          <w:ilvl w:val="0"/>
          <w:numId w:val="9"/>
        </w:numPr>
        <w:ind w:hanging="360"/>
      </w:pPr>
      <w:r>
        <w:t xml:space="preserve">the statutory criteria relating to time and skill, competence, cost to public funds, and value for money have informed the analysis throughout the report; </w:t>
      </w:r>
    </w:p>
    <w:p w14:paraId="7E3896D2" w14:textId="77777777" w:rsidR="002C26E2" w:rsidRDefault="002C26E2">
      <w:pPr>
        <w:sectPr w:rsidR="002C26E2">
          <w:pgSz w:w="11906" w:h="16838"/>
          <w:pgMar w:top="1257" w:right="1447" w:bottom="1376" w:left="1440" w:header="720" w:footer="720" w:gutter="0"/>
          <w:cols w:space="720"/>
          <w:titlePg/>
        </w:sectPr>
      </w:pPr>
    </w:p>
    <w:p w14:paraId="5BFF0134" w14:textId="77777777" w:rsidR="002C26E2" w:rsidRDefault="00812CB4">
      <w:pPr>
        <w:spacing w:after="0"/>
        <w:ind w:left="730" w:right="225"/>
      </w:pPr>
      <w:r>
        <w:t xml:space="preserve">affordability has been recognised as relevant at the implementation stage, consistent with the Terms of Reference, but has not been used as a determinant of recommendations; and </w:t>
      </w:r>
    </w:p>
    <w:p w14:paraId="60DE1F1A" w14:textId="77777777" w:rsidR="002C26E2" w:rsidRDefault="00812CB4">
      <w:pPr>
        <w:numPr>
          <w:ilvl w:val="0"/>
          <w:numId w:val="9"/>
        </w:numPr>
        <w:spacing w:after="416"/>
        <w:ind w:hanging="360"/>
      </w:pPr>
      <w:r>
        <w:t xml:space="preserve">all recommendations are grounded in the evidential standards required by the Terms of Reference. </w:t>
      </w:r>
    </w:p>
    <w:p w14:paraId="445C01E9" w14:textId="77777777" w:rsidR="002C26E2" w:rsidRDefault="00812CB4">
      <w:pPr>
        <w:pStyle w:val="Heading2"/>
        <w:ind w:left="849" w:hanging="852"/>
      </w:pPr>
      <w:bookmarkStart w:id="20" w:name="_Toc107558"/>
      <w:r>
        <w:rPr>
          <w:sz w:val="28"/>
        </w:rPr>
        <w:t>S</w:t>
      </w:r>
      <w:r>
        <w:t>UBMISSIONS</w:t>
      </w:r>
      <w:r>
        <w:rPr>
          <w:sz w:val="28"/>
        </w:rPr>
        <w:t xml:space="preserve"> </w:t>
      </w:r>
      <w:bookmarkEnd w:id="20"/>
    </w:p>
    <w:p w14:paraId="18C21CD7" w14:textId="77777777" w:rsidR="002C26E2" w:rsidRDefault="00812CB4">
      <w:pPr>
        <w:spacing w:after="420"/>
        <w:ind w:left="7"/>
      </w:pPr>
      <w:r>
        <w:t xml:space="preserve">This section summarises the </w:t>
      </w:r>
      <w:r>
        <w:rPr>
          <w:b/>
        </w:rPr>
        <w:t>submissions received</w:t>
      </w:r>
      <w:r>
        <w:t xml:space="preserve"> </w:t>
      </w:r>
      <w:r>
        <w:t xml:space="preserve">in response to the Accelerated Review, identifies the principal evidence relied upon by the submitting parties, and explains how those submissions were treated by the Review Team in accordance with the evidential standards set out in the Terms of Reference. </w:t>
      </w:r>
    </w:p>
    <w:p w14:paraId="69D92BBC" w14:textId="77777777" w:rsidR="002C26E2" w:rsidRDefault="00812CB4">
      <w:pPr>
        <w:pStyle w:val="Heading2"/>
        <w:spacing w:after="306"/>
        <w:ind w:left="849" w:hanging="852"/>
      </w:pPr>
      <w:bookmarkStart w:id="21" w:name="_Toc107559"/>
      <w:r>
        <w:rPr>
          <w:sz w:val="28"/>
        </w:rPr>
        <w:t>S</w:t>
      </w:r>
      <w:r>
        <w:t>UBMISSIONS RECEIVED</w:t>
      </w:r>
      <w:r>
        <w:rPr>
          <w:sz w:val="28"/>
        </w:rPr>
        <w:t xml:space="preserve"> </w:t>
      </w:r>
      <w:bookmarkEnd w:id="21"/>
    </w:p>
    <w:p w14:paraId="4B6FBE03" w14:textId="77777777" w:rsidR="002C26E2" w:rsidRDefault="00812CB4">
      <w:pPr>
        <w:spacing w:after="349" w:line="265" w:lineRule="auto"/>
        <w:ind w:left="7"/>
      </w:pPr>
      <w:r>
        <w:rPr>
          <w:u w:val="single" w:color="000000"/>
        </w:rPr>
        <w:t>Parties and timing</w:t>
      </w:r>
      <w:r>
        <w:t xml:space="preserve"> </w:t>
      </w:r>
    </w:p>
    <w:p w14:paraId="18D95674" w14:textId="77777777" w:rsidR="002C26E2" w:rsidRDefault="00812CB4">
      <w:pPr>
        <w:spacing w:after="358" w:line="259" w:lineRule="auto"/>
        <w:ind w:left="7" w:right="225"/>
      </w:pPr>
      <w:r>
        <w:t xml:space="preserve">Submissions were received from: </w:t>
      </w:r>
    </w:p>
    <w:p w14:paraId="64D6600D" w14:textId="77777777" w:rsidR="002C26E2" w:rsidRDefault="00812CB4">
      <w:pPr>
        <w:numPr>
          <w:ilvl w:val="0"/>
          <w:numId w:val="10"/>
        </w:numPr>
        <w:spacing w:after="113" w:line="265" w:lineRule="auto"/>
        <w:ind w:hanging="360"/>
      </w:pPr>
      <w:r>
        <w:t xml:space="preserve">the </w:t>
      </w:r>
      <w:r>
        <w:rPr>
          <w:b/>
        </w:rPr>
        <w:t>Criminal Bar Association (CBA)</w:t>
      </w:r>
      <w:r>
        <w:t xml:space="preserve">; and </w:t>
      </w:r>
    </w:p>
    <w:p w14:paraId="0F2FD09B" w14:textId="77777777" w:rsidR="002C26E2" w:rsidRDefault="00812CB4">
      <w:pPr>
        <w:numPr>
          <w:ilvl w:val="0"/>
          <w:numId w:val="10"/>
        </w:numPr>
        <w:spacing w:after="390" w:line="265" w:lineRule="auto"/>
        <w:ind w:hanging="360"/>
      </w:pPr>
      <w:r>
        <w:t xml:space="preserve">the </w:t>
      </w:r>
      <w:r>
        <w:rPr>
          <w:b/>
        </w:rPr>
        <w:t>Solicitors Criminal Bar Association (SCBA)</w:t>
      </w:r>
      <w:r>
        <w:t xml:space="preserve">. </w:t>
      </w:r>
    </w:p>
    <w:p w14:paraId="386283C8" w14:textId="77777777" w:rsidR="002C26E2" w:rsidRDefault="00812CB4">
      <w:pPr>
        <w:spacing w:after="431"/>
        <w:ind w:left="7"/>
      </w:pPr>
      <w:r>
        <w:t xml:space="preserve">Both primary submissions were received on </w:t>
      </w:r>
      <w:r>
        <w:rPr>
          <w:b/>
        </w:rPr>
        <w:t>13 March 2026</w:t>
      </w:r>
      <w:r>
        <w:t xml:space="preserve">. Following a request for further information, a </w:t>
      </w:r>
      <w:r>
        <w:rPr>
          <w:b/>
        </w:rPr>
        <w:t>supplementary submission</w:t>
      </w:r>
      <w:r>
        <w:t xml:space="preserve"> was received from the CBA on </w:t>
      </w:r>
      <w:r>
        <w:rPr>
          <w:b/>
        </w:rPr>
        <w:t>25 March 2026</w:t>
      </w:r>
      <w:r>
        <w:t xml:space="preserve">. </w:t>
      </w:r>
    </w:p>
    <w:p w14:paraId="36664F59" w14:textId="77777777" w:rsidR="002C26E2" w:rsidRDefault="00812CB4">
      <w:pPr>
        <w:pStyle w:val="Heading2"/>
        <w:spacing w:after="302"/>
        <w:ind w:left="849" w:hanging="852"/>
      </w:pPr>
      <w:bookmarkStart w:id="22" w:name="_Toc107560"/>
      <w:r>
        <w:rPr>
          <w:sz w:val="28"/>
        </w:rPr>
        <w:t>E</w:t>
      </w:r>
      <w:r>
        <w:t>VIDENCE PROVIDED IN SUPPORT OF THE SUBMISSIONS</w:t>
      </w:r>
      <w:r>
        <w:rPr>
          <w:sz w:val="28"/>
        </w:rPr>
        <w:t xml:space="preserve"> </w:t>
      </w:r>
      <w:bookmarkEnd w:id="22"/>
    </w:p>
    <w:p w14:paraId="0DFECBF2" w14:textId="77777777" w:rsidR="002C26E2" w:rsidRDefault="00812CB4">
      <w:pPr>
        <w:spacing w:after="349" w:line="265" w:lineRule="auto"/>
        <w:ind w:left="7"/>
      </w:pPr>
      <w:r>
        <w:rPr>
          <w:u w:val="single" w:color="000000"/>
        </w:rPr>
        <w:t>CBA supporting material</w:t>
      </w:r>
      <w:r>
        <w:t xml:space="preserve"> </w:t>
      </w:r>
    </w:p>
    <w:p w14:paraId="02E2C8C0" w14:textId="77777777" w:rsidR="002C26E2" w:rsidRDefault="00812CB4">
      <w:pPr>
        <w:spacing w:line="259" w:lineRule="auto"/>
        <w:ind w:left="7" w:right="225"/>
      </w:pPr>
      <w:r>
        <w:t xml:space="preserve">The CBA submission was accompanied by: </w:t>
      </w:r>
    </w:p>
    <w:p w14:paraId="513C2C50" w14:textId="77777777" w:rsidR="002C26E2" w:rsidRDefault="00812CB4">
      <w:pPr>
        <w:numPr>
          <w:ilvl w:val="0"/>
          <w:numId w:val="11"/>
        </w:numPr>
        <w:spacing w:after="275"/>
        <w:ind w:right="194" w:hanging="355"/>
      </w:pPr>
      <w:r>
        <w:t xml:space="preserve">a report dated </w:t>
      </w:r>
      <w:r>
        <w:rPr>
          <w:b/>
        </w:rPr>
        <w:t>March 2026</w:t>
      </w:r>
      <w:r>
        <w:t xml:space="preserve"> from </w:t>
      </w:r>
      <w:r>
        <w:rPr>
          <w:b/>
        </w:rPr>
        <w:t>Goldblatt McGuigan</w:t>
      </w:r>
      <w:r>
        <w:t xml:space="preserve">, commissioned by the Bar, titled </w:t>
      </w:r>
      <w:r>
        <w:rPr>
          <w:i/>
        </w:rPr>
        <w:t>“Bar of Northern Ireland updated analysis on criminal legal aid fees”</w:t>
      </w:r>
      <w:r>
        <w:t xml:space="preserve">, presented as an update to work originally undertaken in June 2005. </w:t>
      </w:r>
    </w:p>
    <w:p w14:paraId="0C7CEC9C" w14:textId="77777777" w:rsidR="002C26E2" w:rsidRDefault="00812CB4">
      <w:pPr>
        <w:ind w:left="7"/>
      </w:pPr>
      <w:r>
        <w:t xml:space="preserve">In addition, reference was made to earlier Goldblatt McGuigan analysis on refresher fees commissioned by the Bar of Northern Ireland. </w:t>
      </w:r>
    </w:p>
    <w:p w14:paraId="2F8DC43C" w14:textId="77777777" w:rsidR="002C26E2" w:rsidRDefault="00812CB4">
      <w:pPr>
        <w:spacing w:after="349" w:line="265" w:lineRule="auto"/>
        <w:ind w:left="7"/>
      </w:pPr>
      <w:r>
        <w:rPr>
          <w:u w:val="single" w:color="000000"/>
        </w:rPr>
        <w:t>SCBA supporting material</w:t>
      </w:r>
      <w:r>
        <w:t xml:space="preserve"> </w:t>
      </w:r>
    </w:p>
    <w:p w14:paraId="6CAE0809" w14:textId="77777777" w:rsidR="002C26E2" w:rsidRDefault="00812CB4">
      <w:pPr>
        <w:spacing w:line="259" w:lineRule="auto"/>
        <w:ind w:left="7" w:right="225"/>
      </w:pPr>
      <w:r>
        <w:t xml:space="preserve">The SCBA submission was accompanied by: </w:t>
      </w:r>
    </w:p>
    <w:p w14:paraId="6B774418" w14:textId="77777777" w:rsidR="002C26E2" w:rsidRDefault="00812CB4">
      <w:pPr>
        <w:numPr>
          <w:ilvl w:val="0"/>
          <w:numId w:val="11"/>
        </w:numPr>
        <w:spacing w:after="115" w:line="259" w:lineRule="auto"/>
        <w:ind w:right="194" w:hanging="355"/>
      </w:pPr>
      <w:r>
        <w:t xml:space="preserve">a report from </w:t>
      </w:r>
      <w:r>
        <w:rPr>
          <w:b/>
        </w:rPr>
        <w:t>BDO</w:t>
      </w:r>
      <w:r>
        <w:t xml:space="preserve">, commissioned by the Law Society, dated </w:t>
      </w:r>
      <w:r>
        <w:rPr>
          <w:b/>
        </w:rPr>
        <w:t xml:space="preserve">11 November </w:t>
      </w:r>
    </w:p>
    <w:p w14:paraId="597C2C40" w14:textId="77777777" w:rsidR="002C26E2" w:rsidRDefault="00812CB4">
      <w:pPr>
        <w:spacing w:after="238" w:line="259" w:lineRule="auto"/>
        <w:ind w:left="727" w:right="194"/>
      </w:pPr>
      <w:r>
        <w:rPr>
          <w:b/>
        </w:rPr>
        <w:t>2024</w:t>
      </w:r>
      <w:r>
        <w:t xml:space="preserve">, titled </w:t>
      </w:r>
      <w:r>
        <w:rPr>
          <w:i/>
        </w:rPr>
        <w:t>“Independent review of the hourly rates in Northern Ireland”</w:t>
      </w:r>
      <w:r>
        <w:t xml:space="preserve">; and </w:t>
      </w:r>
    </w:p>
    <w:p w14:paraId="0BBA83DF" w14:textId="77777777" w:rsidR="002C26E2" w:rsidRDefault="00812CB4">
      <w:pPr>
        <w:numPr>
          <w:ilvl w:val="0"/>
          <w:numId w:val="11"/>
        </w:numPr>
        <w:spacing w:after="435" w:line="360" w:lineRule="auto"/>
        <w:ind w:right="194" w:hanging="355"/>
      </w:pPr>
      <w:r>
        <w:t xml:space="preserve">a report by </w:t>
      </w:r>
      <w:r>
        <w:rPr>
          <w:b/>
        </w:rPr>
        <w:t xml:space="preserve">Hook </w:t>
      </w:r>
      <w:proofErr w:type="spellStart"/>
      <w:r>
        <w:rPr>
          <w:b/>
        </w:rPr>
        <w:t>Tangaza</w:t>
      </w:r>
      <w:proofErr w:type="spellEnd"/>
      <w:r>
        <w:t xml:space="preserve">, commissioned by the Law Society, dated </w:t>
      </w:r>
      <w:r>
        <w:rPr>
          <w:b/>
        </w:rPr>
        <w:t>May 2024</w:t>
      </w:r>
      <w:r>
        <w:t xml:space="preserve">, titled </w:t>
      </w:r>
      <w:r>
        <w:rPr>
          <w:i/>
        </w:rPr>
        <w:t>“The Viability of criminal legal aid practice in Northern Ireland”</w:t>
      </w:r>
      <w:r>
        <w:t xml:space="preserve">. </w:t>
      </w:r>
    </w:p>
    <w:p w14:paraId="0D61B5B7" w14:textId="77777777" w:rsidR="002C26E2" w:rsidRDefault="00812CB4">
      <w:pPr>
        <w:pStyle w:val="Heading2"/>
        <w:ind w:left="849" w:hanging="852"/>
      </w:pPr>
      <w:bookmarkStart w:id="23" w:name="_Toc107561"/>
      <w:r>
        <w:rPr>
          <w:sz w:val="28"/>
        </w:rPr>
        <w:t>S</w:t>
      </w:r>
      <w:r>
        <w:t>COPE AND FOCUS OF THE SUBMISSIONS</w:t>
      </w:r>
      <w:r>
        <w:rPr>
          <w:sz w:val="28"/>
        </w:rPr>
        <w:t xml:space="preserve"> </w:t>
      </w:r>
      <w:bookmarkEnd w:id="23"/>
    </w:p>
    <w:p w14:paraId="7884EDB1" w14:textId="77777777" w:rsidR="002C26E2" w:rsidRDefault="00812CB4">
      <w:pPr>
        <w:spacing w:after="115"/>
        <w:ind w:left="7"/>
      </w:pPr>
      <w:r>
        <w:t xml:space="preserve">The submissions from both the CBA and SCBA advanced representations across all elements of the </w:t>
      </w:r>
      <w:r>
        <w:rPr>
          <w:b/>
        </w:rPr>
        <w:t>Agreed Scope of the Review</w:t>
      </w:r>
      <w:r>
        <w:t xml:space="preserve">, including: </w:t>
      </w:r>
    </w:p>
    <w:p w14:paraId="1E9F92B1" w14:textId="77777777" w:rsidR="002C26E2" w:rsidRDefault="00812CB4">
      <w:pPr>
        <w:numPr>
          <w:ilvl w:val="0"/>
          <w:numId w:val="12"/>
        </w:numPr>
        <w:spacing w:line="259" w:lineRule="auto"/>
        <w:ind w:right="225" w:hanging="355"/>
      </w:pPr>
      <w:r>
        <w:t xml:space="preserve">general levels of remuneration; and </w:t>
      </w:r>
    </w:p>
    <w:p w14:paraId="6ACB5FA6" w14:textId="77777777" w:rsidR="002C26E2" w:rsidRDefault="00812CB4">
      <w:pPr>
        <w:numPr>
          <w:ilvl w:val="0"/>
          <w:numId w:val="12"/>
        </w:numPr>
        <w:spacing w:after="357" w:line="259" w:lineRule="auto"/>
        <w:ind w:right="225" w:hanging="355"/>
      </w:pPr>
      <w:r>
        <w:t xml:space="preserve">specific fee categories falling within Headings 2 and 3 of the Scope. </w:t>
      </w:r>
    </w:p>
    <w:p w14:paraId="17214ADC" w14:textId="77777777" w:rsidR="002C26E2" w:rsidRDefault="00812CB4">
      <w:pPr>
        <w:ind w:left="7" w:right="225"/>
      </w:pPr>
      <w:r>
        <w:t xml:space="preserve">In several areas, submissions relied on previously published analysis or on assertions relating to inflation, comparators, or perceived inequities within the existing regime. </w:t>
      </w:r>
    </w:p>
    <w:p w14:paraId="73418E98" w14:textId="77777777" w:rsidR="002C26E2" w:rsidRDefault="00812CB4">
      <w:pPr>
        <w:spacing w:line="259" w:lineRule="auto"/>
        <w:ind w:left="7" w:right="225"/>
      </w:pPr>
      <w:r>
        <w:t xml:space="preserve">The Review Team: </w:t>
      </w:r>
    </w:p>
    <w:p w14:paraId="350851A9" w14:textId="77777777" w:rsidR="002C26E2" w:rsidRDefault="00812CB4">
      <w:pPr>
        <w:numPr>
          <w:ilvl w:val="0"/>
          <w:numId w:val="12"/>
        </w:numPr>
        <w:spacing w:line="259" w:lineRule="auto"/>
        <w:ind w:right="225" w:hanging="355"/>
      </w:pPr>
      <w:r>
        <w:t xml:space="preserve">considered all submissions in detail; </w:t>
      </w:r>
    </w:p>
    <w:p w14:paraId="1B317E5D" w14:textId="77777777" w:rsidR="002C26E2" w:rsidRDefault="00812CB4">
      <w:pPr>
        <w:numPr>
          <w:ilvl w:val="0"/>
          <w:numId w:val="12"/>
        </w:numPr>
        <w:spacing w:after="112"/>
        <w:ind w:right="225" w:hanging="355"/>
      </w:pPr>
      <w:r>
        <w:t xml:space="preserve">tested the evidential basis of assertions made against the standards set out in the Terms of Reference; and </w:t>
      </w:r>
    </w:p>
    <w:p w14:paraId="54C97194" w14:textId="77777777" w:rsidR="002C26E2" w:rsidRDefault="00812CB4">
      <w:pPr>
        <w:numPr>
          <w:ilvl w:val="0"/>
          <w:numId w:val="12"/>
        </w:numPr>
        <w:spacing w:after="193"/>
        <w:ind w:right="225" w:hanging="355"/>
      </w:pPr>
      <w:r>
        <w:t xml:space="preserve">relied upon submissions only to the extent that they were supported by </w:t>
      </w:r>
      <w:r>
        <w:rPr>
          <w:b/>
        </w:rPr>
        <w:t>objective, verifiable, and robust evidence</w:t>
      </w:r>
      <w:r>
        <w:t xml:space="preserve">. </w:t>
      </w:r>
    </w:p>
    <w:p w14:paraId="4F1712A8" w14:textId="77777777" w:rsidR="002C26E2" w:rsidRDefault="00812CB4">
      <w:pPr>
        <w:spacing w:after="349" w:line="265" w:lineRule="auto"/>
        <w:ind w:left="7"/>
      </w:pPr>
      <w:r>
        <w:rPr>
          <w:u w:val="single" w:color="000000"/>
        </w:rPr>
        <w:t>Absence of validated data</w:t>
      </w:r>
      <w:r>
        <w:t xml:space="preserve"> </w:t>
      </w:r>
    </w:p>
    <w:p w14:paraId="43339358" w14:textId="77777777" w:rsidR="002C26E2" w:rsidRDefault="00812CB4">
      <w:pPr>
        <w:spacing w:after="114"/>
        <w:ind w:left="7" w:right="225"/>
      </w:pPr>
      <w:r>
        <w:t xml:space="preserve">While </w:t>
      </w:r>
      <w:r>
        <w:t xml:space="preserve">the Review Team considered all submissions carefully, it was noted that in many instances: </w:t>
      </w:r>
    </w:p>
    <w:p w14:paraId="2CA8686B" w14:textId="77777777" w:rsidR="002C26E2" w:rsidRDefault="00812CB4">
      <w:pPr>
        <w:numPr>
          <w:ilvl w:val="0"/>
          <w:numId w:val="12"/>
        </w:numPr>
        <w:spacing w:line="259" w:lineRule="auto"/>
        <w:ind w:right="225" w:hanging="355"/>
      </w:pPr>
      <w:r>
        <w:t xml:space="preserve">no additional data was provided beyond narrative assertions; or </w:t>
      </w:r>
    </w:p>
    <w:p w14:paraId="53BA955B" w14:textId="77777777" w:rsidR="002C26E2" w:rsidRDefault="00812CB4">
      <w:pPr>
        <w:numPr>
          <w:ilvl w:val="0"/>
          <w:numId w:val="12"/>
        </w:numPr>
        <w:ind w:right="225" w:hanging="355"/>
      </w:pPr>
      <w:r>
        <w:t xml:space="preserve">data was provided without accompanying evidence sufficient to allow independent validation or verification. </w:t>
      </w:r>
    </w:p>
    <w:p w14:paraId="38009EA6" w14:textId="77777777" w:rsidR="002C26E2" w:rsidRDefault="00812CB4">
      <w:pPr>
        <w:spacing w:line="259" w:lineRule="auto"/>
        <w:ind w:left="7" w:right="225"/>
      </w:pPr>
      <w:r>
        <w:t xml:space="preserve">This was particularly relevant in relation to: </w:t>
      </w:r>
    </w:p>
    <w:p w14:paraId="0AD310F0" w14:textId="77777777" w:rsidR="002C26E2" w:rsidRDefault="00812CB4">
      <w:pPr>
        <w:spacing w:line="259" w:lineRule="auto"/>
        <w:ind w:left="723" w:right="225"/>
      </w:pPr>
      <w:r>
        <w:t xml:space="preserve">general claims regarding the adequacy of standard fees; and </w:t>
      </w:r>
    </w:p>
    <w:p w14:paraId="5E3D775D" w14:textId="77777777" w:rsidR="002C26E2" w:rsidRDefault="00812CB4">
      <w:pPr>
        <w:numPr>
          <w:ilvl w:val="0"/>
          <w:numId w:val="12"/>
        </w:numPr>
        <w:spacing w:after="193"/>
        <w:ind w:right="225" w:hanging="355"/>
      </w:pPr>
      <w:r>
        <w:t xml:space="preserve">specific requests for time-based remuneration where assumptions about hours worked were not supported by contemporaneous records. </w:t>
      </w:r>
    </w:p>
    <w:p w14:paraId="7719231E" w14:textId="77777777" w:rsidR="002C26E2" w:rsidRDefault="00812CB4">
      <w:pPr>
        <w:spacing w:after="349" w:line="265" w:lineRule="auto"/>
        <w:ind w:left="7"/>
      </w:pPr>
      <w:r>
        <w:rPr>
          <w:u w:val="single" w:color="000000"/>
        </w:rPr>
        <w:t>Consequences for the Review</w:t>
      </w:r>
      <w:r>
        <w:t xml:space="preserve"> </w:t>
      </w:r>
    </w:p>
    <w:p w14:paraId="1A652B2A" w14:textId="77777777" w:rsidR="002C26E2" w:rsidRDefault="00812CB4">
      <w:pPr>
        <w:spacing w:line="259" w:lineRule="auto"/>
        <w:ind w:left="7" w:right="225"/>
      </w:pPr>
      <w:r>
        <w:t xml:space="preserve">These evidential limitations had implications for: </w:t>
      </w:r>
    </w:p>
    <w:p w14:paraId="3635A813" w14:textId="77777777" w:rsidR="002C26E2" w:rsidRDefault="00812CB4">
      <w:pPr>
        <w:numPr>
          <w:ilvl w:val="0"/>
          <w:numId w:val="12"/>
        </w:numPr>
        <w:spacing w:after="239" w:line="259" w:lineRule="auto"/>
        <w:ind w:right="225" w:hanging="355"/>
      </w:pPr>
      <w:r>
        <w:t xml:space="preserve">the Review </w:t>
      </w:r>
      <w:r>
        <w:t xml:space="preserve">Team’s assessment of proposals relating to </w:t>
      </w:r>
      <w:r>
        <w:rPr>
          <w:b/>
        </w:rPr>
        <w:t>standard fees</w:t>
      </w:r>
      <w:r>
        <w:t xml:space="preserve">; and </w:t>
      </w:r>
    </w:p>
    <w:p w14:paraId="437DB51F" w14:textId="77777777" w:rsidR="002C26E2" w:rsidRDefault="00812CB4">
      <w:pPr>
        <w:numPr>
          <w:ilvl w:val="0"/>
          <w:numId w:val="12"/>
        </w:numPr>
        <w:ind w:right="225" w:hanging="355"/>
      </w:pPr>
      <w:r>
        <w:t xml:space="preserve">the </w:t>
      </w:r>
      <w:r>
        <w:rPr>
          <w:b/>
        </w:rPr>
        <w:t>shape and content</w:t>
      </w:r>
      <w:r>
        <w:t xml:space="preserve"> of recommendations in respect of specific fees, where the evidential threshold required by the Terms of Reference could not be satisfied. </w:t>
      </w:r>
    </w:p>
    <w:p w14:paraId="489A4665" w14:textId="77777777" w:rsidR="002C26E2" w:rsidRDefault="00812CB4">
      <w:pPr>
        <w:spacing w:after="411"/>
        <w:ind w:left="7"/>
      </w:pPr>
      <w:r>
        <w:t xml:space="preserve">Where submissions were strongly advanced but not supported by validated and robust evidence, the Review Team has explained this explicitly in the relevant analytical sections of the report. It is important to note that submissions that did not meet this threshold were not </w:t>
      </w:r>
      <w:proofErr w:type="gramStart"/>
      <w:r>
        <w:t>disregarded, but</w:t>
      </w:r>
      <w:proofErr w:type="gramEnd"/>
      <w:r>
        <w:t xml:space="preserve"> were treated with appropriate caution. </w:t>
      </w:r>
    </w:p>
    <w:p w14:paraId="618B6C41" w14:textId="77777777" w:rsidR="002C26E2" w:rsidRDefault="00812CB4">
      <w:pPr>
        <w:pStyle w:val="Heading2"/>
        <w:ind w:left="849" w:hanging="852"/>
      </w:pPr>
      <w:bookmarkStart w:id="24" w:name="_Toc107562"/>
      <w:r>
        <w:rPr>
          <w:sz w:val="28"/>
        </w:rPr>
        <w:t>S</w:t>
      </w:r>
      <w:r>
        <w:t>UMMARY</w:t>
      </w:r>
      <w:r>
        <w:rPr>
          <w:sz w:val="28"/>
        </w:rPr>
        <w:t xml:space="preserve"> </w:t>
      </w:r>
      <w:bookmarkEnd w:id="24"/>
    </w:p>
    <w:p w14:paraId="3CC4D21B" w14:textId="77777777" w:rsidR="002C26E2" w:rsidRDefault="00812CB4">
      <w:pPr>
        <w:spacing w:line="259" w:lineRule="auto"/>
        <w:ind w:left="7" w:right="225"/>
      </w:pPr>
      <w:r>
        <w:t xml:space="preserve">In summary: </w:t>
      </w:r>
    </w:p>
    <w:p w14:paraId="65BD1D23" w14:textId="77777777" w:rsidR="002C26E2" w:rsidRDefault="00812CB4">
      <w:pPr>
        <w:numPr>
          <w:ilvl w:val="0"/>
          <w:numId w:val="13"/>
        </w:numPr>
        <w:spacing w:after="112"/>
        <w:ind w:right="225" w:hanging="355"/>
      </w:pPr>
      <w:r>
        <w:t xml:space="preserve">submissions were received from both representative bodies within the required timescales; </w:t>
      </w:r>
    </w:p>
    <w:p w14:paraId="2313C4EC" w14:textId="77777777" w:rsidR="002C26E2" w:rsidRDefault="00812CB4">
      <w:pPr>
        <w:numPr>
          <w:ilvl w:val="0"/>
          <w:numId w:val="13"/>
        </w:numPr>
        <w:spacing w:line="259" w:lineRule="auto"/>
        <w:ind w:right="225" w:hanging="355"/>
      </w:pPr>
      <w:r>
        <w:t xml:space="preserve">a range of supporting reports and analyses were submitted; </w:t>
      </w:r>
    </w:p>
    <w:p w14:paraId="48765937" w14:textId="77777777" w:rsidR="002C26E2" w:rsidRDefault="00812CB4">
      <w:pPr>
        <w:numPr>
          <w:ilvl w:val="0"/>
          <w:numId w:val="13"/>
        </w:numPr>
        <w:spacing w:line="259" w:lineRule="auto"/>
        <w:ind w:right="225" w:hanging="355"/>
      </w:pPr>
      <w:r>
        <w:t xml:space="preserve">evidential quality and robustness varied significantly between issues; and </w:t>
      </w:r>
    </w:p>
    <w:p w14:paraId="7F4977C1" w14:textId="77777777" w:rsidR="002C26E2" w:rsidRDefault="00812CB4">
      <w:pPr>
        <w:numPr>
          <w:ilvl w:val="0"/>
          <w:numId w:val="13"/>
        </w:numPr>
        <w:ind w:right="225" w:hanging="355"/>
      </w:pPr>
      <w:r>
        <w:t xml:space="preserve">the Review Team has applied a consistent, standards-based approach in determining the weight to be attached to each submission. </w:t>
      </w:r>
    </w:p>
    <w:p w14:paraId="40843314" w14:textId="77777777" w:rsidR="002C26E2" w:rsidRDefault="00812CB4">
      <w:pPr>
        <w:spacing w:after="112"/>
        <w:ind w:left="7"/>
      </w:pPr>
      <w:r>
        <w:t xml:space="preserve">Within the Submissions, representations were made in respect of fees that should be payable under all headings included in the Scope of the Review. While in respect of some matters data was already available arising from the Fundamental Review and the work of the Working Group, in many circumstances no further data, or in </w:t>
      </w:r>
      <w:proofErr w:type="gramStart"/>
      <w:r>
        <w:t>a number of</w:t>
      </w:r>
      <w:proofErr w:type="gramEnd"/>
      <w:r>
        <w:t xml:space="preserve"> cases no supporting data, was provided. This has had </w:t>
      </w:r>
      <w:proofErr w:type="gramStart"/>
      <w:r>
        <w:t>consequences:-</w:t>
      </w:r>
      <w:proofErr w:type="gramEnd"/>
      <w:r>
        <w:t xml:space="preserve"> </w:t>
      </w:r>
    </w:p>
    <w:p w14:paraId="2AA86BCC" w14:textId="77777777" w:rsidR="002C26E2" w:rsidRDefault="00812CB4">
      <w:pPr>
        <w:numPr>
          <w:ilvl w:val="0"/>
          <w:numId w:val="14"/>
        </w:numPr>
        <w:spacing w:line="259" w:lineRule="auto"/>
        <w:ind w:right="225" w:hanging="360"/>
      </w:pPr>
      <w:r>
        <w:t xml:space="preserve">in respect of the general level of standard fees: and </w:t>
      </w:r>
    </w:p>
    <w:p w14:paraId="1A3C294F" w14:textId="77777777" w:rsidR="002C26E2" w:rsidRDefault="00812CB4">
      <w:pPr>
        <w:numPr>
          <w:ilvl w:val="0"/>
          <w:numId w:val="14"/>
        </w:numPr>
        <w:spacing w:after="415"/>
        <w:ind w:right="225" w:hanging="360"/>
      </w:pPr>
      <w:r>
        <w:t xml:space="preserve">for our approach to the shape and recommendations in respect of specific fees. </w:t>
      </w:r>
    </w:p>
    <w:p w14:paraId="11097805" w14:textId="77777777" w:rsidR="002C26E2" w:rsidRDefault="00812CB4">
      <w:pPr>
        <w:pStyle w:val="Heading2"/>
        <w:ind w:left="849" w:hanging="852"/>
      </w:pPr>
      <w:bookmarkStart w:id="25" w:name="_Toc107563"/>
      <w:r>
        <w:rPr>
          <w:sz w:val="28"/>
        </w:rPr>
        <w:t>A</w:t>
      </w:r>
      <w:r>
        <w:t xml:space="preserve">GREED </w:t>
      </w:r>
      <w:r>
        <w:rPr>
          <w:sz w:val="28"/>
        </w:rPr>
        <w:t>S</w:t>
      </w:r>
      <w:r>
        <w:t>COPE</w:t>
      </w:r>
      <w:r>
        <w:rPr>
          <w:sz w:val="28"/>
        </w:rPr>
        <w:t xml:space="preserve"> </w:t>
      </w:r>
      <w:bookmarkEnd w:id="25"/>
    </w:p>
    <w:p w14:paraId="334E13C3" w14:textId="77777777" w:rsidR="002C26E2" w:rsidRDefault="00812CB4">
      <w:pPr>
        <w:spacing w:after="115"/>
        <w:ind w:left="7"/>
      </w:pPr>
      <w:r>
        <w:t xml:space="preserve">This section sets out the </w:t>
      </w:r>
      <w:r>
        <w:rPr>
          <w:b/>
        </w:rPr>
        <w:t>agreed scope</w:t>
      </w:r>
      <w:r>
        <w:t xml:space="preserve"> of the Accelerated Review, as defined in the Terms of Reference, and explains: </w:t>
      </w:r>
    </w:p>
    <w:p w14:paraId="5558DF4E" w14:textId="77777777" w:rsidR="002C26E2" w:rsidRDefault="00812CB4">
      <w:pPr>
        <w:numPr>
          <w:ilvl w:val="0"/>
          <w:numId w:val="15"/>
        </w:numPr>
        <w:spacing w:line="259" w:lineRule="auto"/>
        <w:ind w:right="225" w:hanging="355"/>
      </w:pPr>
      <w:r>
        <w:t xml:space="preserve">what elements of the fee regime were included; </w:t>
      </w:r>
    </w:p>
    <w:p w14:paraId="4D7B8768" w14:textId="77777777" w:rsidR="002C26E2" w:rsidRDefault="00812CB4">
      <w:pPr>
        <w:numPr>
          <w:ilvl w:val="0"/>
          <w:numId w:val="15"/>
        </w:numPr>
        <w:spacing w:line="259" w:lineRule="auto"/>
        <w:ind w:right="225" w:hanging="355"/>
      </w:pPr>
      <w:r>
        <w:t xml:space="preserve">how those elements were grouped under the agreed scope headings; and </w:t>
      </w:r>
    </w:p>
    <w:p w14:paraId="170672FB" w14:textId="77777777" w:rsidR="002C26E2" w:rsidRDefault="00812CB4">
      <w:pPr>
        <w:numPr>
          <w:ilvl w:val="0"/>
          <w:numId w:val="15"/>
        </w:numPr>
        <w:spacing w:after="425"/>
        <w:ind w:right="225" w:hanging="355"/>
      </w:pPr>
      <w:r>
        <w:t xml:space="preserve">the limits of what the Review Team was asked to consider within the accelerated timeframe. </w:t>
      </w:r>
    </w:p>
    <w:p w14:paraId="6D75C49F" w14:textId="77777777" w:rsidR="002C26E2" w:rsidRDefault="00812CB4">
      <w:pPr>
        <w:pStyle w:val="Heading2"/>
        <w:ind w:left="849" w:hanging="852"/>
      </w:pPr>
      <w:bookmarkStart w:id="26" w:name="_Toc107564"/>
      <w:r>
        <w:rPr>
          <w:sz w:val="28"/>
        </w:rPr>
        <w:t>O</w:t>
      </w:r>
      <w:r>
        <w:t>VERVIEW OF THE AGREED SCOPE</w:t>
      </w:r>
      <w:r>
        <w:rPr>
          <w:sz w:val="28"/>
        </w:rPr>
        <w:t xml:space="preserve"> </w:t>
      </w:r>
      <w:bookmarkEnd w:id="26"/>
    </w:p>
    <w:p w14:paraId="5A0505DD" w14:textId="77777777" w:rsidR="002C26E2" w:rsidRDefault="00812CB4">
      <w:pPr>
        <w:ind w:left="7"/>
      </w:pPr>
      <w:r>
        <w:t xml:space="preserve">The agreed scope of the Accelerated Review comprises </w:t>
      </w:r>
      <w:r>
        <w:rPr>
          <w:b/>
        </w:rPr>
        <w:t>three principal headings</w:t>
      </w:r>
      <w:r>
        <w:t xml:space="preserve">, each of which is addressed separately within this report. </w:t>
      </w:r>
    </w:p>
    <w:p w14:paraId="0DBEE41A" w14:textId="77777777" w:rsidR="002C26E2" w:rsidRDefault="00812CB4">
      <w:pPr>
        <w:spacing w:line="259" w:lineRule="auto"/>
        <w:ind w:left="7" w:right="225"/>
      </w:pPr>
      <w:r>
        <w:t xml:space="preserve">These are: </w:t>
      </w:r>
    </w:p>
    <w:p w14:paraId="6F4173BD" w14:textId="77777777" w:rsidR="002C26E2" w:rsidRDefault="00812CB4">
      <w:pPr>
        <w:numPr>
          <w:ilvl w:val="0"/>
          <w:numId w:val="16"/>
        </w:numPr>
        <w:spacing w:after="111"/>
        <w:ind w:right="225" w:hanging="355"/>
      </w:pPr>
      <w:r>
        <w:t xml:space="preserve">A </w:t>
      </w:r>
      <w:r>
        <w:rPr>
          <w:b/>
        </w:rPr>
        <w:t>general review</w:t>
      </w:r>
      <w:r>
        <w:t xml:space="preserve"> of the level of criminal legal aid remuneration for practitioners; </w:t>
      </w:r>
    </w:p>
    <w:p w14:paraId="3D01FFA3" w14:textId="77777777" w:rsidR="002C26E2" w:rsidRDefault="00812CB4">
      <w:pPr>
        <w:numPr>
          <w:ilvl w:val="0"/>
          <w:numId w:val="16"/>
        </w:numPr>
        <w:spacing w:after="111"/>
        <w:ind w:right="225" w:hanging="355"/>
      </w:pPr>
      <w:r>
        <w:t xml:space="preserve">A review of specified categories of work undertaken by </w:t>
      </w:r>
      <w:r>
        <w:rPr>
          <w:b/>
        </w:rPr>
        <w:t>barristers</w:t>
      </w:r>
      <w:r>
        <w:t xml:space="preserve"> in the Crown Court; and </w:t>
      </w:r>
    </w:p>
    <w:p w14:paraId="10B8F24D" w14:textId="77777777" w:rsidR="002C26E2" w:rsidRDefault="00812CB4">
      <w:pPr>
        <w:numPr>
          <w:ilvl w:val="0"/>
          <w:numId w:val="16"/>
        </w:numPr>
        <w:spacing w:after="426"/>
        <w:ind w:right="225" w:hanging="355"/>
      </w:pPr>
      <w:r>
        <w:t xml:space="preserve">A review of specified categories of work undertaken by </w:t>
      </w:r>
      <w:r>
        <w:rPr>
          <w:b/>
        </w:rPr>
        <w:t>solicitors</w:t>
      </w:r>
      <w:r>
        <w:t xml:space="preserve"> in the Crown Court. </w:t>
      </w:r>
    </w:p>
    <w:p w14:paraId="3E235895" w14:textId="77777777" w:rsidR="00554D9A" w:rsidRDefault="00554D9A" w:rsidP="00554D9A">
      <w:pPr>
        <w:spacing w:after="426"/>
        <w:ind w:right="225"/>
      </w:pPr>
    </w:p>
    <w:p w14:paraId="47C5529C" w14:textId="77777777" w:rsidR="00554D9A" w:rsidRDefault="00554D9A" w:rsidP="00554D9A">
      <w:pPr>
        <w:spacing w:after="426"/>
        <w:ind w:right="225"/>
      </w:pPr>
    </w:p>
    <w:p w14:paraId="22341E89" w14:textId="77777777" w:rsidR="002C26E2" w:rsidRDefault="00812CB4">
      <w:pPr>
        <w:pStyle w:val="Heading2"/>
        <w:ind w:left="849" w:hanging="852"/>
      </w:pPr>
      <w:bookmarkStart w:id="27" w:name="_Toc107565"/>
      <w:r>
        <w:rPr>
          <w:sz w:val="28"/>
        </w:rPr>
        <w:t>G</w:t>
      </w:r>
      <w:r>
        <w:t>ENERAL REVIEW OF CRIMINAL LEGAL AID REMUNERATION LEVELS</w:t>
      </w:r>
      <w:r>
        <w:rPr>
          <w:sz w:val="28"/>
        </w:rPr>
        <w:t xml:space="preserve"> </w:t>
      </w:r>
      <w:bookmarkEnd w:id="27"/>
    </w:p>
    <w:p w14:paraId="448427D7" w14:textId="77777777" w:rsidR="002C26E2" w:rsidRDefault="00812CB4">
      <w:pPr>
        <w:spacing w:after="349" w:line="265" w:lineRule="auto"/>
        <w:ind w:left="7"/>
      </w:pPr>
      <w:r>
        <w:rPr>
          <w:u w:val="single" w:color="000000"/>
        </w:rPr>
        <w:t>Scope</w:t>
      </w:r>
      <w:r>
        <w:t xml:space="preserve"> </w:t>
      </w:r>
    </w:p>
    <w:p w14:paraId="1CF9342E" w14:textId="77777777" w:rsidR="002C26E2" w:rsidRDefault="00812CB4">
      <w:pPr>
        <w:spacing w:after="113" w:line="361" w:lineRule="auto"/>
        <w:ind w:left="7"/>
      </w:pPr>
      <w:r>
        <w:t xml:space="preserve">The first element of the agreed scope is a </w:t>
      </w:r>
      <w:r>
        <w:rPr>
          <w:b/>
        </w:rPr>
        <w:t>general review of the level of criminal legal aid remuneration</w:t>
      </w:r>
      <w:r>
        <w:t xml:space="preserve"> for practitioners. </w:t>
      </w:r>
    </w:p>
    <w:p w14:paraId="1F5390B8" w14:textId="77777777" w:rsidR="002C26E2" w:rsidRDefault="00812CB4">
      <w:pPr>
        <w:spacing w:line="259" w:lineRule="auto"/>
        <w:ind w:left="7" w:right="225"/>
      </w:pPr>
      <w:r>
        <w:t xml:space="preserve">This review applies across: </w:t>
      </w:r>
    </w:p>
    <w:p w14:paraId="63E3ABAC" w14:textId="77777777" w:rsidR="002C26E2" w:rsidRDefault="00812CB4">
      <w:pPr>
        <w:numPr>
          <w:ilvl w:val="0"/>
          <w:numId w:val="17"/>
        </w:numPr>
        <w:spacing w:after="236" w:line="259" w:lineRule="auto"/>
        <w:ind w:hanging="355"/>
      </w:pPr>
      <w:r>
        <w:t xml:space="preserve">the </w:t>
      </w:r>
      <w:r>
        <w:rPr>
          <w:b/>
        </w:rPr>
        <w:t>Magistrates’ Court</w:t>
      </w:r>
      <w:r>
        <w:t xml:space="preserve">; </w:t>
      </w:r>
    </w:p>
    <w:p w14:paraId="303DD49B" w14:textId="77777777" w:rsidR="002C26E2" w:rsidRDefault="00812CB4">
      <w:pPr>
        <w:numPr>
          <w:ilvl w:val="0"/>
          <w:numId w:val="17"/>
        </w:numPr>
        <w:spacing w:after="113" w:line="265" w:lineRule="auto"/>
        <w:ind w:hanging="355"/>
      </w:pPr>
      <w:r>
        <w:rPr>
          <w:b/>
        </w:rPr>
        <w:t>County Court appeals</w:t>
      </w:r>
      <w:r>
        <w:t xml:space="preserve">; and </w:t>
      </w:r>
    </w:p>
    <w:p w14:paraId="4F120018" w14:textId="77777777" w:rsidR="002C26E2" w:rsidRDefault="00812CB4">
      <w:pPr>
        <w:spacing w:after="542" w:line="265" w:lineRule="auto"/>
        <w:ind w:left="723"/>
      </w:pPr>
      <w:r>
        <w:t xml:space="preserve">the </w:t>
      </w:r>
      <w:r>
        <w:rPr>
          <w:b/>
        </w:rPr>
        <w:t>Crown Court</w:t>
      </w:r>
      <w:r>
        <w:t xml:space="preserve">. </w:t>
      </w:r>
    </w:p>
    <w:p w14:paraId="009A84FF" w14:textId="77777777" w:rsidR="002C26E2" w:rsidRDefault="00812CB4">
      <w:pPr>
        <w:pStyle w:val="Heading2"/>
        <w:ind w:left="849" w:hanging="852"/>
      </w:pPr>
      <w:bookmarkStart w:id="28" w:name="_Toc107566"/>
      <w:r>
        <w:rPr>
          <w:sz w:val="28"/>
        </w:rPr>
        <w:t>C</w:t>
      </w:r>
      <w:r>
        <w:t xml:space="preserve">ROWN </w:t>
      </w:r>
      <w:r>
        <w:rPr>
          <w:sz w:val="28"/>
        </w:rPr>
        <w:t>C</w:t>
      </w:r>
      <w:r>
        <w:t>OURT WORK UNDERTAKEN BY BARRISTERS</w:t>
      </w:r>
      <w:r>
        <w:rPr>
          <w:sz w:val="28"/>
        </w:rPr>
        <w:t xml:space="preserve"> </w:t>
      </w:r>
      <w:bookmarkEnd w:id="28"/>
    </w:p>
    <w:p w14:paraId="42ECC9CF" w14:textId="77777777" w:rsidR="002C26E2" w:rsidRDefault="00812CB4">
      <w:pPr>
        <w:spacing w:after="231" w:line="265" w:lineRule="auto"/>
        <w:ind w:left="7"/>
      </w:pPr>
      <w:r>
        <w:rPr>
          <w:u w:val="single" w:color="000000"/>
        </w:rPr>
        <w:t>Scope</w:t>
      </w:r>
      <w:r>
        <w:t xml:space="preserve"> </w:t>
      </w:r>
    </w:p>
    <w:p w14:paraId="1106D342" w14:textId="77777777" w:rsidR="002C26E2" w:rsidRDefault="00812CB4">
      <w:pPr>
        <w:spacing w:after="115"/>
        <w:ind w:left="7" w:right="225"/>
      </w:pPr>
      <w:r>
        <w:t xml:space="preserve">The second element of the agreed scope concerns specific categories of work undertaken by </w:t>
      </w:r>
      <w:r>
        <w:rPr>
          <w:b/>
        </w:rPr>
        <w:t>barristers</w:t>
      </w:r>
      <w:r>
        <w:t xml:space="preserve"> in the </w:t>
      </w:r>
      <w:r>
        <w:rPr>
          <w:b/>
        </w:rPr>
        <w:t>Crown Court</w:t>
      </w:r>
      <w:r>
        <w:t xml:space="preserve">, namely: </w:t>
      </w:r>
    </w:p>
    <w:p w14:paraId="4DE34DBD" w14:textId="77777777" w:rsidR="002C26E2" w:rsidRDefault="00812CB4">
      <w:pPr>
        <w:numPr>
          <w:ilvl w:val="0"/>
          <w:numId w:val="18"/>
        </w:numPr>
        <w:spacing w:after="232" w:line="265" w:lineRule="auto"/>
        <w:ind w:hanging="355"/>
      </w:pPr>
      <w:r>
        <w:rPr>
          <w:b/>
        </w:rPr>
        <w:t>Exceptional Preparation</w:t>
      </w:r>
      <w:r>
        <w:t xml:space="preserve">; </w:t>
      </w:r>
    </w:p>
    <w:p w14:paraId="242A1F6F" w14:textId="77777777" w:rsidR="002C26E2" w:rsidRDefault="00812CB4">
      <w:pPr>
        <w:numPr>
          <w:ilvl w:val="0"/>
          <w:numId w:val="18"/>
        </w:numPr>
        <w:spacing w:after="233" w:line="265" w:lineRule="auto"/>
        <w:ind w:hanging="355"/>
      </w:pPr>
      <w:r>
        <w:rPr>
          <w:b/>
        </w:rPr>
        <w:t>Consultations</w:t>
      </w:r>
      <w:r>
        <w:t xml:space="preserve">; and </w:t>
      </w:r>
    </w:p>
    <w:p w14:paraId="7F049BA5" w14:textId="77777777" w:rsidR="002C26E2" w:rsidRDefault="00812CB4">
      <w:pPr>
        <w:numPr>
          <w:ilvl w:val="0"/>
          <w:numId w:val="18"/>
        </w:numPr>
        <w:spacing w:after="349" w:line="265" w:lineRule="auto"/>
        <w:ind w:hanging="355"/>
      </w:pPr>
      <w:r>
        <w:rPr>
          <w:b/>
        </w:rPr>
        <w:t>Sentencing skeleton arguments</w:t>
      </w:r>
      <w:r>
        <w:t xml:space="preserve">. </w:t>
      </w:r>
    </w:p>
    <w:p w14:paraId="6ED3FD3A" w14:textId="77777777" w:rsidR="002C26E2" w:rsidRDefault="00812CB4">
      <w:pPr>
        <w:spacing w:after="441"/>
        <w:ind w:left="7" w:right="225"/>
      </w:pPr>
      <w:r>
        <w:t xml:space="preserve">These elements are addressed individually in later sections of this report. </w:t>
      </w:r>
    </w:p>
    <w:p w14:paraId="55A696AD" w14:textId="77777777" w:rsidR="002C26E2" w:rsidRDefault="00812CB4">
      <w:pPr>
        <w:pStyle w:val="Heading2"/>
        <w:ind w:left="849" w:hanging="852"/>
      </w:pPr>
      <w:bookmarkStart w:id="29" w:name="_Toc107567"/>
      <w:r>
        <w:rPr>
          <w:sz w:val="28"/>
        </w:rPr>
        <w:t>C</w:t>
      </w:r>
      <w:r>
        <w:t xml:space="preserve">ROWN </w:t>
      </w:r>
      <w:r>
        <w:rPr>
          <w:sz w:val="28"/>
        </w:rPr>
        <w:t>C</w:t>
      </w:r>
      <w:r>
        <w:t>OURT WORK UNDERTAKEN BY SOLICITORS</w:t>
      </w:r>
      <w:r>
        <w:rPr>
          <w:sz w:val="28"/>
        </w:rPr>
        <w:t xml:space="preserve"> </w:t>
      </w:r>
      <w:bookmarkEnd w:id="29"/>
    </w:p>
    <w:p w14:paraId="72EF4762" w14:textId="77777777" w:rsidR="002C26E2" w:rsidRDefault="00812CB4">
      <w:pPr>
        <w:spacing w:after="349" w:line="265" w:lineRule="auto"/>
        <w:ind w:left="7"/>
      </w:pPr>
      <w:r>
        <w:rPr>
          <w:u w:val="single" w:color="000000"/>
        </w:rPr>
        <w:t>Scope</w:t>
      </w:r>
      <w:r>
        <w:t xml:space="preserve"> </w:t>
      </w:r>
    </w:p>
    <w:p w14:paraId="609260F4" w14:textId="77777777" w:rsidR="002C26E2" w:rsidRDefault="00812CB4">
      <w:pPr>
        <w:ind w:left="7" w:right="225"/>
      </w:pPr>
      <w:r>
        <w:t xml:space="preserve">The third element of the agreed scope concerns specific categories of work undertaken by </w:t>
      </w:r>
      <w:r>
        <w:rPr>
          <w:b/>
        </w:rPr>
        <w:t>solicitors</w:t>
      </w:r>
      <w:r>
        <w:t xml:space="preserve"> in the </w:t>
      </w:r>
      <w:r>
        <w:rPr>
          <w:b/>
        </w:rPr>
        <w:t>Crown Court</w:t>
      </w:r>
      <w:r>
        <w:t xml:space="preserve">, namely: </w:t>
      </w:r>
    </w:p>
    <w:p w14:paraId="6A9E4F46" w14:textId="77777777" w:rsidR="002C26E2" w:rsidRDefault="00812CB4">
      <w:pPr>
        <w:numPr>
          <w:ilvl w:val="0"/>
          <w:numId w:val="19"/>
        </w:numPr>
        <w:spacing w:after="354" w:line="265" w:lineRule="auto"/>
        <w:ind w:hanging="360"/>
      </w:pPr>
      <w:r>
        <w:rPr>
          <w:b/>
        </w:rPr>
        <w:t>Exceptional Preparation</w:t>
      </w:r>
      <w:r>
        <w:t xml:space="preserve">; </w:t>
      </w:r>
    </w:p>
    <w:p w14:paraId="56541A14" w14:textId="77777777" w:rsidR="002C26E2" w:rsidRDefault="00812CB4">
      <w:pPr>
        <w:numPr>
          <w:ilvl w:val="0"/>
          <w:numId w:val="19"/>
        </w:numPr>
        <w:spacing w:after="350" w:line="265" w:lineRule="auto"/>
        <w:ind w:hanging="360"/>
      </w:pPr>
      <w:r>
        <w:rPr>
          <w:b/>
        </w:rPr>
        <w:t>Consultations</w:t>
      </w:r>
      <w:r>
        <w:t xml:space="preserve">; and </w:t>
      </w:r>
    </w:p>
    <w:p w14:paraId="73794F73" w14:textId="77777777" w:rsidR="002C26E2" w:rsidRDefault="00812CB4">
      <w:pPr>
        <w:numPr>
          <w:ilvl w:val="0"/>
          <w:numId w:val="19"/>
        </w:numPr>
        <w:spacing w:after="352" w:line="265" w:lineRule="auto"/>
        <w:ind w:hanging="360"/>
      </w:pPr>
      <w:r>
        <w:rPr>
          <w:b/>
        </w:rPr>
        <w:t>Consideration of audio-visual evidence</w:t>
      </w:r>
      <w:r>
        <w:t xml:space="preserve">. </w:t>
      </w:r>
    </w:p>
    <w:p w14:paraId="0FE9D4FC" w14:textId="77777777" w:rsidR="002C26E2" w:rsidRDefault="00812CB4">
      <w:pPr>
        <w:spacing w:after="354"/>
        <w:ind w:left="7" w:right="225"/>
      </w:pPr>
      <w:r>
        <w:t xml:space="preserve">As with the second element, each category of work is examined discretely in the sections that follow. </w:t>
      </w:r>
    </w:p>
    <w:p w14:paraId="6C18D79B" w14:textId="77777777" w:rsidR="009D5B98" w:rsidRDefault="009D5B98">
      <w:pPr>
        <w:spacing w:after="229" w:line="265" w:lineRule="auto"/>
        <w:ind w:left="7"/>
        <w:rPr>
          <w:u w:val="single" w:color="000000"/>
        </w:rPr>
      </w:pPr>
    </w:p>
    <w:p w14:paraId="189C71BC" w14:textId="31E2FD36" w:rsidR="002C26E2" w:rsidRDefault="00812CB4">
      <w:pPr>
        <w:spacing w:after="229" w:line="265" w:lineRule="auto"/>
        <w:ind w:left="7"/>
      </w:pPr>
      <w:r>
        <w:rPr>
          <w:u w:val="single" w:color="000000"/>
        </w:rPr>
        <w:t>Matters excluded</w:t>
      </w:r>
      <w:r>
        <w:t xml:space="preserve"> </w:t>
      </w:r>
    </w:p>
    <w:p w14:paraId="44C3F6E3" w14:textId="77777777" w:rsidR="002C26E2" w:rsidRDefault="00812CB4">
      <w:pPr>
        <w:spacing w:line="259" w:lineRule="auto"/>
        <w:ind w:left="7" w:right="225"/>
      </w:pPr>
      <w:r>
        <w:t xml:space="preserve">It is explicitly </w:t>
      </w:r>
      <w:r>
        <w:rPr>
          <w:b/>
        </w:rPr>
        <w:t>not</w:t>
      </w:r>
      <w:r>
        <w:t xml:space="preserve"> part of the Accelerated Review to: </w:t>
      </w:r>
    </w:p>
    <w:p w14:paraId="2CE34825" w14:textId="77777777" w:rsidR="002C26E2" w:rsidRDefault="00812CB4">
      <w:pPr>
        <w:numPr>
          <w:ilvl w:val="0"/>
          <w:numId w:val="19"/>
        </w:numPr>
        <w:spacing w:line="259" w:lineRule="auto"/>
        <w:ind w:hanging="360"/>
      </w:pPr>
      <w:r>
        <w:t xml:space="preserve">reform the overall structure of standard fees; or </w:t>
      </w:r>
    </w:p>
    <w:p w14:paraId="26537994" w14:textId="77777777" w:rsidR="002C26E2" w:rsidRDefault="00812CB4">
      <w:pPr>
        <w:numPr>
          <w:ilvl w:val="0"/>
          <w:numId w:val="19"/>
        </w:numPr>
        <w:ind w:hanging="360"/>
      </w:pPr>
      <w:r>
        <w:t xml:space="preserve">reconsider the comprehensive framework of standard and specific fees established under the existing Rules. </w:t>
      </w:r>
    </w:p>
    <w:p w14:paraId="6B6BD6D7" w14:textId="0FAC0ADD" w:rsidR="002C26E2" w:rsidRDefault="00812CB4">
      <w:pPr>
        <w:spacing w:after="0"/>
        <w:ind w:left="7"/>
      </w:pPr>
      <w:r>
        <w:t xml:space="preserve">The general review is therefore confined to assessing whether the level of remuneration remains appropriate, rather than redesigning the fee structure itself. It is not part of the Accelerated Review to address the structure of fees, nor the large number of specific standard fees. The Fundamental Review referred in detail to the genesis of the Standard Fee framework and the evidential base, particularly in relation to the Crown Court with its complexity of offences and procedural </w:t>
      </w:r>
      <w:r w:rsidR="00554D9A">
        <w:t>processes in</w:t>
      </w:r>
      <w:r>
        <w:t xml:space="preserve"> Chapter 3.6. Subsequent reviews of the fee structure were referred to in Chapter </w:t>
      </w:r>
    </w:p>
    <w:p w14:paraId="231DD92A" w14:textId="77777777" w:rsidR="002C26E2" w:rsidRDefault="00812CB4">
      <w:pPr>
        <w:spacing w:line="259" w:lineRule="auto"/>
        <w:ind w:left="7" w:right="225"/>
      </w:pPr>
      <w:r>
        <w:t xml:space="preserve">3. 8. 2 et seq. and the views of the author as to the factors informing those reviews.  </w:t>
      </w:r>
    </w:p>
    <w:p w14:paraId="4B20D8D4" w14:textId="77777777" w:rsidR="002C26E2" w:rsidRDefault="00812CB4">
      <w:pPr>
        <w:spacing w:after="413"/>
        <w:ind w:left="7"/>
      </w:pPr>
      <w:r>
        <w:t xml:space="preserve">The conclusion reached was that, despite the undoubted increase in work required by the profession, no attempt could be shown to have been undertaken to obtain the </w:t>
      </w:r>
      <w:r>
        <w:t xml:space="preserve">data required to inform the appropriate level of fees, let alone the ‘swings and </w:t>
      </w:r>
      <w:r>
        <w:t>roundabouts</w:t>
      </w:r>
      <w:r>
        <w:t xml:space="preserve">’ structure of the 2005 </w:t>
      </w:r>
      <w:r>
        <w:t xml:space="preserve">Rules. </w:t>
      </w:r>
    </w:p>
    <w:p w14:paraId="462B1C2D" w14:textId="77777777" w:rsidR="002C26E2" w:rsidRDefault="00812CB4">
      <w:pPr>
        <w:pStyle w:val="Heading2"/>
        <w:ind w:left="849" w:right="200" w:hanging="852"/>
      </w:pPr>
      <w:bookmarkStart w:id="30" w:name="_Toc107568"/>
      <w:r>
        <w:rPr>
          <w:color w:val="004E9A"/>
          <w:sz w:val="28"/>
        </w:rPr>
        <w:t>T</w:t>
      </w:r>
      <w:r>
        <w:rPr>
          <w:color w:val="004E9A"/>
        </w:rPr>
        <w:t xml:space="preserve">IME AND </w:t>
      </w:r>
      <w:r>
        <w:rPr>
          <w:color w:val="004E9A"/>
          <w:sz w:val="28"/>
        </w:rPr>
        <w:t>R</w:t>
      </w:r>
      <w:r>
        <w:rPr>
          <w:color w:val="004E9A"/>
        </w:rPr>
        <w:t>ATES</w:t>
      </w:r>
      <w:r>
        <w:rPr>
          <w:color w:val="004E9A"/>
          <w:sz w:val="28"/>
        </w:rPr>
        <w:t xml:space="preserve"> </w:t>
      </w:r>
      <w:bookmarkEnd w:id="30"/>
    </w:p>
    <w:p w14:paraId="7EE4B80B" w14:textId="77777777" w:rsidR="002C26E2" w:rsidRDefault="00812CB4">
      <w:pPr>
        <w:ind w:left="7" w:right="225"/>
      </w:pPr>
      <w:r>
        <w:t xml:space="preserve">In most walks of life, it is a recognised requirement that any professional service provision is based on the time incurred in providing the service, the cost of that service, usually in agreed time increments, and the skill of the service provider, which would normally feed directly into the costs.  </w:t>
      </w:r>
    </w:p>
    <w:p w14:paraId="27758C10" w14:textId="77777777" w:rsidR="002C26E2" w:rsidRDefault="00812CB4">
      <w:pPr>
        <w:ind w:left="7"/>
      </w:pPr>
      <w:r>
        <w:t xml:space="preserve">However, we presently have a system of </w:t>
      </w:r>
      <w:r>
        <w:t xml:space="preserve">many ‘standard fees’ </w:t>
      </w:r>
      <w:r>
        <w:t xml:space="preserve">which are set figures linked to several metrics, inter alia the length of a trial, the experience of the counsel involved and the classification of the offence. For example, in the Crown Court, a trial lasting 9 to 16 days, for the offence of murder (Class A), with the defence counsel being a KC, the standard fee would be £9,280 after the increase of 16%. The equivalent PPS fee for the same trial and the same counsel experience would currently be £7,600.  </w:t>
      </w:r>
    </w:p>
    <w:p w14:paraId="638B0446" w14:textId="77777777" w:rsidR="002C26E2" w:rsidRDefault="00812CB4">
      <w:pPr>
        <w:ind w:left="7" w:right="225"/>
      </w:pPr>
      <w:r>
        <w:t xml:space="preserve">If we consider a Crown Court hearing for a trial of 25 to 32 days for burglary (Class E), the post 16% increased fee would be £6,070 for a Leading Junior. The PPS equivalent fee would be £4,971. </w:t>
      </w:r>
    </w:p>
    <w:p w14:paraId="672FCFB0" w14:textId="77777777" w:rsidR="002C26E2" w:rsidRDefault="00812CB4">
      <w:pPr>
        <w:spacing w:after="115" w:line="259" w:lineRule="auto"/>
        <w:ind w:left="7" w:right="225"/>
      </w:pPr>
      <w:r>
        <w:t xml:space="preserve">The final comparison we will make will again be for the Crown Court, again using </w:t>
      </w:r>
    </w:p>
    <w:p w14:paraId="148B8B1E" w14:textId="77777777" w:rsidR="00554D9A" w:rsidRDefault="00812CB4">
      <w:pPr>
        <w:ind w:left="7" w:right="225"/>
      </w:pPr>
      <w:r>
        <w:t xml:space="preserve">Kings Counsel, for a trial lasting 49 to 56 days, involving serious sexual offences (Class D). The fee after the 16% increase would be £31,220. The PPS equivalent fee would be £25,650. </w:t>
      </w:r>
    </w:p>
    <w:p w14:paraId="395F97E9" w14:textId="099AD935" w:rsidR="002C26E2" w:rsidRDefault="00812CB4">
      <w:pPr>
        <w:ind w:left="7" w:right="225"/>
      </w:pPr>
      <w:r>
        <w:t xml:space="preserve">As can be seen from the above examples, fees can vary considerably and it’s very </w:t>
      </w:r>
      <w:r>
        <w:t xml:space="preserve">difficult to conclude whether the set fees are reasonable in reflecting the amount of work involved or the skill of counsel.   </w:t>
      </w:r>
    </w:p>
    <w:p w14:paraId="2353A7CD" w14:textId="77777777" w:rsidR="002C26E2" w:rsidRDefault="00812CB4">
      <w:pPr>
        <w:ind w:left="7" w:right="225"/>
      </w:pPr>
      <w:r>
        <w:t>We believe that in respect of services provided by both solicitors and barristers under the Criminal Legal Aid scheme, the one system that is fair to everyone involved is a time and rate system, where time is recorded and this time has an hourly rate applied to come up with a total evidence based cost to provide the service. This is often used in professional services, such as solicitors, accountants, architects etc.  There should then be an evidential basis for any claim for the service provided (or outlay</w:t>
      </w:r>
      <w:r>
        <w:t xml:space="preserve">s incurred), ideally recorded at the time the service is provided or shortly thereafter.  Given the objective basis of any subsequent assessment process, by the likes of the LSA, an allowance can only be made for work claimed where it is supported by appropriate evidence. </w:t>
      </w:r>
    </w:p>
    <w:p w14:paraId="5B593B5D" w14:textId="77777777" w:rsidR="002C26E2" w:rsidRDefault="00812CB4">
      <w:pPr>
        <w:spacing w:after="11"/>
        <w:ind w:left="7" w:right="225"/>
      </w:pPr>
      <w:r>
        <w:t xml:space="preserve">The onus is on the solicitors and barristers to provide such evidence.  Evidence of the work done should, ideally, be in the form of timed and dated file or attendance notes but, where relevant, may be evidenced by relevant documentation drafted or read.  For example, any time and cost claims should always: </w:t>
      </w:r>
    </w:p>
    <w:p w14:paraId="09473B1A" w14:textId="77777777" w:rsidR="002C26E2" w:rsidRDefault="00812CB4">
      <w:pPr>
        <w:numPr>
          <w:ilvl w:val="0"/>
          <w:numId w:val="20"/>
        </w:numPr>
        <w:spacing w:after="87" w:line="259" w:lineRule="auto"/>
        <w:ind w:right="225" w:hanging="360"/>
      </w:pPr>
      <w:r>
        <w:t>note the client’s instructions on file</w:t>
      </w:r>
      <w:r>
        <w:t xml:space="preserve"> </w:t>
      </w:r>
    </w:p>
    <w:p w14:paraId="0CB2FF88" w14:textId="77777777" w:rsidR="002C26E2" w:rsidRDefault="00812CB4">
      <w:pPr>
        <w:numPr>
          <w:ilvl w:val="0"/>
          <w:numId w:val="20"/>
        </w:numPr>
        <w:spacing w:after="11"/>
        <w:ind w:right="225" w:hanging="360"/>
      </w:pPr>
      <w:r>
        <w:t xml:space="preserve">make and retain file notes sufficient to identify the nature and the extent of all work undertaken (by reference to </w:t>
      </w:r>
      <w:r>
        <w:rPr>
          <w:i/>
        </w:rPr>
        <w:t>actual</w:t>
      </w:r>
      <w:r>
        <w:t xml:space="preserve"> time), and by whom </w:t>
      </w:r>
    </w:p>
    <w:p w14:paraId="4A01C8E4" w14:textId="77777777" w:rsidR="002C26E2" w:rsidRDefault="00812CB4">
      <w:pPr>
        <w:numPr>
          <w:ilvl w:val="0"/>
          <w:numId w:val="20"/>
        </w:numPr>
        <w:spacing w:after="87" w:line="259" w:lineRule="auto"/>
        <w:ind w:right="225" w:hanging="360"/>
      </w:pPr>
      <w:r>
        <w:t xml:space="preserve">retain copies of correspondence </w:t>
      </w:r>
    </w:p>
    <w:p w14:paraId="4184AD6B" w14:textId="77777777" w:rsidR="002C26E2" w:rsidRDefault="00812CB4">
      <w:pPr>
        <w:numPr>
          <w:ilvl w:val="0"/>
          <w:numId w:val="20"/>
        </w:numPr>
        <w:spacing w:after="11"/>
        <w:ind w:right="225" w:hanging="360"/>
      </w:pPr>
      <w:r>
        <w:t xml:space="preserve">retain copies of documentation especially if it has been perused or referred to in preparation for a hearing. </w:t>
      </w:r>
    </w:p>
    <w:p w14:paraId="19FDAC81" w14:textId="77777777" w:rsidR="002C26E2" w:rsidRDefault="00812CB4">
      <w:pPr>
        <w:numPr>
          <w:ilvl w:val="0"/>
          <w:numId w:val="20"/>
        </w:numPr>
        <w:spacing w:after="154"/>
        <w:ind w:right="225" w:hanging="360"/>
      </w:pPr>
      <w:r>
        <w:t xml:space="preserve">Documents that you have perused should be retained and provided, if required, in such a way that we can readily identify what was perused on any given occasion. </w:t>
      </w:r>
    </w:p>
    <w:p w14:paraId="33CF810B" w14:textId="77777777" w:rsidR="002C26E2" w:rsidRDefault="00812CB4">
      <w:pPr>
        <w:ind w:left="7" w:right="225"/>
      </w:pPr>
      <w:r>
        <w:t xml:space="preserve">As the Fundamental Review </w:t>
      </w:r>
      <w:r>
        <w:t xml:space="preserve">concluded, we believe the time is right to review all set fees, using robust evidence base of the time involved in the full spectrum of cases and the time spent at trial. This exercise was examined at length in the Working Group, and a potential structure was proffered to address it.  To do this properly will take a significant amount of time and resources, so we are not able to consider this as an option in this Accelerated review. </w:t>
      </w:r>
    </w:p>
    <w:p w14:paraId="3A9654F8" w14:textId="77777777" w:rsidR="002C26E2" w:rsidRDefault="00812CB4">
      <w:pPr>
        <w:pStyle w:val="Heading2"/>
        <w:ind w:left="849" w:hanging="852"/>
      </w:pPr>
      <w:bookmarkStart w:id="31" w:name="_Toc107569"/>
      <w:r>
        <w:rPr>
          <w:color w:val="004E9A"/>
          <w:sz w:val="28"/>
        </w:rPr>
        <w:t>R</w:t>
      </w:r>
      <w:r>
        <w:rPr>
          <w:color w:val="004E9A"/>
        </w:rPr>
        <w:t>ELATIONSHIP</w:t>
      </w:r>
      <w:r>
        <w:t xml:space="preserve"> BETWEEN THE SCOPE HEADINGS</w:t>
      </w:r>
      <w:r>
        <w:rPr>
          <w:sz w:val="28"/>
        </w:rPr>
        <w:t xml:space="preserve"> </w:t>
      </w:r>
      <w:bookmarkEnd w:id="31"/>
    </w:p>
    <w:p w14:paraId="34467CFF" w14:textId="77777777" w:rsidR="002C26E2" w:rsidRDefault="00812CB4">
      <w:pPr>
        <w:spacing w:after="0"/>
        <w:ind w:left="7" w:right="225"/>
      </w:pPr>
      <w:r>
        <w:t xml:space="preserve">While Headings 2 and 3 relate to different categories of practitioners, the Review Team has sought to: </w:t>
      </w:r>
    </w:p>
    <w:p w14:paraId="0F360062" w14:textId="77777777" w:rsidR="002C26E2" w:rsidRDefault="00812CB4">
      <w:pPr>
        <w:numPr>
          <w:ilvl w:val="0"/>
          <w:numId w:val="21"/>
        </w:numPr>
        <w:spacing w:after="0"/>
        <w:ind w:right="225" w:hanging="360"/>
      </w:pPr>
      <w:r>
        <w:t xml:space="preserve">apply a </w:t>
      </w:r>
      <w:r>
        <w:rPr>
          <w:b/>
        </w:rPr>
        <w:t>consistent analytical framework</w:t>
      </w:r>
      <w:r>
        <w:t xml:space="preserve"> where comparable work is undertaken by barristers and solicitors; and </w:t>
      </w:r>
    </w:p>
    <w:p w14:paraId="25B9567E" w14:textId="77777777" w:rsidR="002C26E2" w:rsidRDefault="00812CB4">
      <w:pPr>
        <w:numPr>
          <w:ilvl w:val="0"/>
          <w:numId w:val="21"/>
        </w:numPr>
        <w:spacing w:after="426"/>
        <w:ind w:right="225" w:hanging="360"/>
      </w:pPr>
      <w:r>
        <w:t xml:space="preserve">recognise where differences in role, business model, or professional responsibility justify divergence in approach. </w:t>
      </w:r>
    </w:p>
    <w:p w14:paraId="5237DDAA" w14:textId="77777777" w:rsidR="002C26E2" w:rsidRDefault="00812CB4">
      <w:pPr>
        <w:pStyle w:val="Heading2"/>
        <w:ind w:left="849" w:hanging="852"/>
      </w:pPr>
      <w:bookmarkStart w:id="32" w:name="_Toc107570"/>
      <w:r>
        <w:rPr>
          <w:color w:val="004E9A"/>
          <w:sz w:val="28"/>
        </w:rPr>
        <w:t>S</w:t>
      </w:r>
      <w:r>
        <w:rPr>
          <w:color w:val="004E9A"/>
        </w:rPr>
        <w:t>UMMARY</w:t>
      </w:r>
      <w:r>
        <w:t xml:space="preserve"> OF THE AGREED SCOPE</w:t>
      </w:r>
      <w:r>
        <w:rPr>
          <w:sz w:val="28"/>
        </w:rPr>
        <w:t xml:space="preserve"> </w:t>
      </w:r>
      <w:bookmarkEnd w:id="32"/>
    </w:p>
    <w:p w14:paraId="443F9DF2" w14:textId="77777777" w:rsidR="002C26E2" w:rsidRDefault="00812CB4">
      <w:pPr>
        <w:spacing w:after="118" w:line="259" w:lineRule="auto"/>
        <w:ind w:left="7" w:right="225"/>
      </w:pPr>
      <w:r>
        <w:t xml:space="preserve">In summary: </w:t>
      </w:r>
    </w:p>
    <w:p w14:paraId="579B28ED" w14:textId="77777777" w:rsidR="002C26E2" w:rsidRDefault="00812CB4">
      <w:pPr>
        <w:numPr>
          <w:ilvl w:val="0"/>
          <w:numId w:val="22"/>
        </w:numPr>
        <w:spacing w:after="0"/>
        <w:ind w:right="225" w:hanging="360"/>
      </w:pPr>
      <w:r>
        <w:t xml:space="preserve">the Accelerated Review focuses on the </w:t>
      </w:r>
      <w:r>
        <w:rPr>
          <w:b/>
        </w:rPr>
        <w:t>level of remuneration</w:t>
      </w:r>
      <w:r>
        <w:t xml:space="preserve">, not the structural redesign of the fee regime; </w:t>
      </w:r>
    </w:p>
    <w:p w14:paraId="767DE808" w14:textId="77777777" w:rsidR="002C26E2" w:rsidRDefault="00812CB4">
      <w:pPr>
        <w:numPr>
          <w:ilvl w:val="0"/>
          <w:numId w:val="22"/>
        </w:numPr>
        <w:spacing w:after="116" w:line="259" w:lineRule="auto"/>
        <w:ind w:right="225" w:hanging="360"/>
      </w:pPr>
      <w:r>
        <w:t xml:space="preserve">the general review applies across all relevant courts; </w:t>
      </w:r>
    </w:p>
    <w:p w14:paraId="573B763D" w14:textId="77777777" w:rsidR="002C26E2" w:rsidRDefault="00812CB4">
      <w:pPr>
        <w:numPr>
          <w:ilvl w:val="0"/>
          <w:numId w:val="22"/>
        </w:numPr>
        <w:spacing w:after="0"/>
        <w:ind w:right="225" w:hanging="360"/>
      </w:pPr>
      <w:r>
        <w:t xml:space="preserve">specific categories of Crown Court work by barristers and solicitors were expressly included; and </w:t>
      </w:r>
    </w:p>
    <w:p w14:paraId="1F33DB67" w14:textId="77777777" w:rsidR="002C26E2" w:rsidRDefault="00812CB4">
      <w:pPr>
        <w:numPr>
          <w:ilvl w:val="0"/>
          <w:numId w:val="22"/>
        </w:numPr>
        <w:spacing w:after="155"/>
        <w:ind w:right="225" w:hanging="360"/>
      </w:pPr>
      <w:r>
        <w:t xml:space="preserve">all analysis and recommendations in this report are confined to the agreed scope set out in the Terms of Reference. </w:t>
      </w:r>
    </w:p>
    <w:p w14:paraId="1A2BA22B" w14:textId="6A39A9EC" w:rsidR="00554D9A" w:rsidRDefault="00812CB4" w:rsidP="00554D9A">
      <w:pPr>
        <w:spacing w:after="312" w:line="259" w:lineRule="auto"/>
        <w:ind w:left="7" w:right="225"/>
        <w:sectPr w:rsidR="00554D9A">
          <w:headerReference w:type="even" r:id="rId13"/>
          <w:headerReference w:type="default" r:id="rId14"/>
          <w:footerReference w:type="even" r:id="rId15"/>
          <w:footerReference w:type="default" r:id="rId16"/>
          <w:headerReference w:type="first" r:id="rId17"/>
          <w:footerReference w:type="first" r:id="rId18"/>
          <w:pgSz w:w="11906" w:h="16838"/>
          <w:pgMar w:top="1222" w:right="1213" w:bottom="1358" w:left="1428" w:header="720" w:footer="707" w:gutter="0"/>
          <w:cols w:space="720"/>
        </w:sectPr>
      </w:pPr>
      <w:r>
        <w:t xml:space="preserve">These issues are discussed in the following sections. </w:t>
      </w:r>
    </w:p>
    <w:p w14:paraId="42282FBF" w14:textId="77777777" w:rsidR="002C26E2" w:rsidRDefault="00812CB4">
      <w:pPr>
        <w:pStyle w:val="Heading1"/>
        <w:spacing w:after="0" w:line="259" w:lineRule="auto"/>
        <w:ind w:left="864" w:hanging="852"/>
      </w:pPr>
      <w:bookmarkStart w:id="33" w:name="_Toc107571"/>
      <w:r>
        <w:rPr>
          <w:sz w:val="36"/>
        </w:rPr>
        <w:t>I</w:t>
      </w:r>
      <w:r>
        <w:rPr>
          <w:sz w:val="29"/>
        </w:rPr>
        <w:t xml:space="preserve">MPACT OF INFLATION ON </w:t>
      </w:r>
      <w:r>
        <w:rPr>
          <w:sz w:val="36"/>
        </w:rPr>
        <w:t>C</w:t>
      </w:r>
      <w:r>
        <w:rPr>
          <w:sz w:val="29"/>
        </w:rPr>
        <w:t xml:space="preserve">RIMINAL </w:t>
      </w:r>
      <w:r>
        <w:rPr>
          <w:sz w:val="36"/>
        </w:rPr>
        <w:t>L</w:t>
      </w:r>
      <w:r>
        <w:rPr>
          <w:sz w:val="29"/>
        </w:rPr>
        <w:t xml:space="preserve">EGAL </w:t>
      </w:r>
      <w:r>
        <w:rPr>
          <w:sz w:val="36"/>
        </w:rPr>
        <w:t>A</w:t>
      </w:r>
      <w:r>
        <w:rPr>
          <w:sz w:val="29"/>
        </w:rPr>
        <w:t xml:space="preserve">ID </w:t>
      </w:r>
      <w:r>
        <w:rPr>
          <w:sz w:val="36"/>
        </w:rPr>
        <w:t>F</w:t>
      </w:r>
      <w:r>
        <w:rPr>
          <w:sz w:val="29"/>
        </w:rPr>
        <w:t>EES</w:t>
      </w:r>
      <w:r>
        <w:rPr>
          <w:sz w:val="36"/>
        </w:rPr>
        <w:t xml:space="preserve"> </w:t>
      </w:r>
      <w:bookmarkEnd w:id="33"/>
    </w:p>
    <w:p w14:paraId="1ABC89C1" w14:textId="77777777" w:rsidR="002C26E2" w:rsidRDefault="00812CB4">
      <w:pPr>
        <w:spacing w:after="332" w:line="259" w:lineRule="auto"/>
        <w:ind w:left="-17" w:firstLine="0"/>
      </w:pPr>
      <w:r>
        <w:rPr>
          <w:rFonts w:ascii="Calibri" w:eastAsia="Calibri" w:hAnsi="Calibri" w:cs="Calibri"/>
          <w:noProof/>
          <w:sz w:val="22"/>
        </w:rPr>
        <mc:AlternateContent>
          <mc:Choice Requires="wpg">
            <w:drawing>
              <wp:inline distT="0" distB="0" distL="0" distR="0" wp14:anchorId="02A87069" wp14:editId="12ED0F70">
                <wp:extent cx="5769610" cy="6096"/>
                <wp:effectExtent l="0" t="0" r="0" b="0"/>
                <wp:docPr id="86737" name="Group 86737"/>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09995" name="Shape 109995"/>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86737" style="width:454.3pt;height:0.47998pt;mso-position-horizontal-relative:char;mso-position-vertical-relative:line" coordsize="57696,60">
                <v:shape id="Shape 109996"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4DFD8302" w14:textId="77777777" w:rsidR="002C26E2" w:rsidRDefault="00812CB4">
      <w:pPr>
        <w:spacing w:after="444"/>
        <w:ind w:left="7" w:right="225"/>
      </w:pPr>
      <w:r>
        <w:t>This section considers whether changes in inflation since 2016 provide a reliable and appropriate basis for increasing standard criminal legal aid fees over and above the 16% uplift already implemented. The analysis distinguishes between general price inflation and wage inflation and assesses the relevance of each to the fee regime under review.</w:t>
      </w:r>
      <w:r>
        <w:rPr>
          <w:rFonts w:ascii="Times New Roman" w:eastAsia="Times New Roman" w:hAnsi="Times New Roman" w:cs="Times New Roman"/>
        </w:rPr>
        <w:t xml:space="preserve"> </w:t>
      </w:r>
    </w:p>
    <w:p w14:paraId="1197D206" w14:textId="77777777" w:rsidR="002C26E2" w:rsidRDefault="00812CB4">
      <w:pPr>
        <w:pStyle w:val="Heading2"/>
        <w:spacing w:after="388"/>
        <w:ind w:left="849" w:right="200" w:hanging="852"/>
      </w:pPr>
      <w:bookmarkStart w:id="34" w:name="_Toc107572"/>
      <w:r>
        <w:rPr>
          <w:color w:val="004E9A"/>
          <w:sz w:val="28"/>
        </w:rPr>
        <w:t>A</w:t>
      </w:r>
      <w:r>
        <w:rPr>
          <w:color w:val="004E9A"/>
        </w:rPr>
        <w:t>PPROACH</w:t>
      </w:r>
      <w:r>
        <w:t xml:space="preserve"> TAKEN</w:t>
      </w:r>
      <w:r>
        <w:rPr>
          <w:sz w:val="28"/>
        </w:rPr>
        <w:t xml:space="preserve"> </w:t>
      </w:r>
      <w:bookmarkEnd w:id="34"/>
    </w:p>
    <w:p w14:paraId="0860F20C" w14:textId="77777777" w:rsidR="002C26E2" w:rsidRDefault="00812CB4">
      <w:pPr>
        <w:spacing w:after="0"/>
        <w:ind w:left="7" w:right="225"/>
      </w:pPr>
      <w:r>
        <w:t xml:space="preserve">The Submissions, particularly those from the Criminal Bar Association (CBA), place significant reliance on inflation as justification for further increases to standard fees. </w:t>
      </w:r>
    </w:p>
    <w:p w14:paraId="0A325CE0" w14:textId="77777777" w:rsidR="002C26E2" w:rsidRDefault="00812CB4">
      <w:pPr>
        <w:spacing w:after="396" w:line="259" w:lineRule="auto"/>
        <w:ind w:left="7" w:right="225"/>
      </w:pPr>
      <w:r>
        <w:t xml:space="preserve">The CBA primarily relies on cumulative inflation measures since 2005 or 2016. </w:t>
      </w:r>
    </w:p>
    <w:p w14:paraId="4921BECA" w14:textId="77777777" w:rsidR="002C26E2" w:rsidRDefault="00812CB4">
      <w:pPr>
        <w:spacing w:after="448"/>
        <w:ind w:left="7" w:right="225"/>
      </w:pPr>
      <w:r>
        <w:t xml:space="preserve">For the purposes of this Accelerated Review, and </w:t>
      </w:r>
      <w:proofErr w:type="gramStart"/>
      <w:r>
        <w:t>in light of</w:t>
      </w:r>
      <w:proofErr w:type="gramEnd"/>
      <w:r>
        <w:t xml:space="preserve"> the agreed Terms of Reference and timescales, the Review Team has confined its analysis to the period </w:t>
      </w:r>
      <w:r>
        <w:rPr>
          <w:b/>
        </w:rPr>
        <w:t>from 2016 onwards</w:t>
      </w:r>
      <w:r>
        <w:t>, being the point at which the current standard fees and hourly rates were last substantively set. This accords with a pragmatic and evidence-based approach within the constraints of the review.</w:t>
      </w:r>
      <w:r>
        <w:rPr>
          <w:rFonts w:ascii="Times New Roman" w:eastAsia="Times New Roman" w:hAnsi="Times New Roman" w:cs="Times New Roman"/>
        </w:rPr>
        <w:t xml:space="preserve"> </w:t>
      </w:r>
    </w:p>
    <w:p w14:paraId="2EA114D0" w14:textId="77777777" w:rsidR="002C26E2" w:rsidRDefault="00812CB4">
      <w:pPr>
        <w:pStyle w:val="Heading2"/>
        <w:spacing w:after="313"/>
        <w:ind w:left="849" w:hanging="852"/>
      </w:pPr>
      <w:bookmarkStart w:id="35" w:name="_Toc107573"/>
      <w:r>
        <w:rPr>
          <w:color w:val="004E9A"/>
          <w:sz w:val="28"/>
        </w:rPr>
        <w:t>G</w:t>
      </w:r>
      <w:r>
        <w:rPr>
          <w:color w:val="004E9A"/>
        </w:rPr>
        <w:t>ENERAL</w:t>
      </w:r>
      <w:r>
        <w:t xml:space="preserve"> INFLATION MEASURES</w:t>
      </w:r>
      <w:r>
        <w:rPr>
          <w:sz w:val="28"/>
        </w:rPr>
        <w:t xml:space="preserve"> </w:t>
      </w:r>
      <w:bookmarkEnd w:id="35"/>
    </w:p>
    <w:p w14:paraId="74A849B3" w14:textId="77777777" w:rsidR="002C26E2" w:rsidRDefault="00812CB4">
      <w:pPr>
        <w:spacing w:after="387" w:line="265" w:lineRule="auto"/>
        <w:ind w:left="7"/>
      </w:pPr>
      <w:r>
        <w:rPr>
          <w:u w:val="single" w:color="000000"/>
        </w:rPr>
        <w:t>Evidence presented</w:t>
      </w:r>
      <w:r>
        <w:t xml:space="preserve"> </w:t>
      </w:r>
    </w:p>
    <w:p w14:paraId="77204592" w14:textId="77777777" w:rsidR="002C26E2" w:rsidRDefault="00812CB4">
      <w:pPr>
        <w:spacing w:after="273"/>
        <w:ind w:left="7" w:right="225"/>
      </w:pPr>
      <w:r>
        <w:t xml:space="preserve">The CBA Submission and the accompanying Goldblatt McGuigan report refer to several inflation indicators over the period from April 2016 to December 2025, including: </w:t>
      </w:r>
    </w:p>
    <w:p w14:paraId="2C19E175" w14:textId="77777777" w:rsidR="002C26E2" w:rsidRDefault="00812CB4">
      <w:pPr>
        <w:numPr>
          <w:ilvl w:val="0"/>
          <w:numId w:val="23"/>
        </w:numPr>
        <w:spacing w:after="118" w:line="259" w:lineRule="auto"/>
        <w:ind w:right="225" w:hanging="360"/>
      </w:pPr>
      <w:r>
        <w:t xml:space="preserve">Consumer Price Index (CPI): cumulative increase of approximately </w:t>
      </w:r>
      <w:r>
        <w:rPr>
          <w:b/>
        </w:rPr>
        <w:t>40%</w:t>
      </w:r>
      <w:r>
        <w:t xml:space="preserve"> </w:t>
      </w:r>
    </w:p>
    <w:p w14:paraId="77EB233C" w14:textId="77777777" w:rsidR="002C26E2" w:rsidRDefault="00812CB4">
      <w:pPr>
        <w:numPr>
          <w:ilvl w:val="0"/>
          <w:numId w:val="23"/>
        </w:numPr>
        <w:spacing w:after="0"/>
        <w:ind w:right="225" w:hanging="360"/>
      </w:pPr>
      <w:r>
        <w:t xml:space="preserve">Services Producer Price Inflation (SPPI): cumulative increase of approximately </w:t>
      </w:r>
      <w:r>
        <w:rPr>
          <w:b/>
        </w:rPr>
        <w:t>54%</w:t>
      </w:r>
      <w:r>
        <w:t xml:space="preserve"> </w:t>
      </w:r>
    </w:p>
    <w:p w14:paraId="12B3BDEB" w14:textId="77777777" w:rsidR="002C26E2" w:rsidRDefault="00812CB4">
      <w:pPr>
        <w:numPr>
          <w:ilvl w:val="0"/>
          <w:numId w:val="23"/>
        </w:numPr>
        <w:spacing w:after="396" w:line="259" w:lineRule="auto"/>
        <w:ind w:right="225" w:hanging="360"/>
      </w:pPr>
      <w:r>
        <w:t xml:space="preserve">GDP Deflator: cumulative increase of approximately </w:t>
      </w:r>
      <w:r>
        <w:rPr>
          <w:b/>
        </w:rPr>
        <w:t>34%</w:t>
      </w:r>
      <w:r>
        <w:t xml:space="preserve"> </w:t>
      </w:r>
    </w:p>
    <w:p w14:paraId="1489A36F" w14:textId="77777777" w:rsidR="002C26E2" w:rsidRDefault="00812CB4">
      <w:pPr>
        <w:ind w:left="7" w:right="225"/>
      </w:pPr>
      <w:r>
        <w:t>The SCBA Submission does not rely on specific inflation measures but advances the general proposition that criminal legal aid remuneration has failed to keep pace with rising costs.</w:t>
      </w:r>
      <w:r>
        <w:rPr>
          <w:rFonts w:ascii="Times New Roman" w:eastAsia="Times New Roman" w:hAnsi="Times New Roman" w:cs="Times New Roman"/>
        </w:rPr>
        <w:t xml:space="preserve"> </w:t>
      </w:r>
    </w:p>
    <w:p w14:paraId="7F4FA29A" w14:textId="77777777" w:rsidR="002C26E2" w:rsidRDefault="00812CB4">
      <w:pPr>
        <w:spacing w:after="390" w:line="265" w:lineRule="auto"/>
        <w:ind w:left="7"/>
      </w:pPr>
      <w:r>
        <w:rPr>
          <w:u w:val="single" w:color="000000"/>
        </w:rPr>
        <w:t>Limitations of general inflation as a comparator</w:t>
      </w:r>
      <w:r>
        <w:t xml:space="preserve"> </w:t>
      </w:r>
    </w:p>
    <w:p w14:paraId="2D1DE083" w14:textId="77777777" w:rsidR="002C26E2" w:rsidRDefault="00812CB4">
      <w:pPr>
        <w:spacing w:after="272"/>
        <w:ind w:left="7" w:right="225"/>
      </w:pPr>
      <w:r>
        <w:t xml:space="preserve">While the above figures indicate </w:t>
      </w:r>
      <w:r>
        <w:t xml:space="preserve">that inflation has been significant over the relevant period, the Review Team considers that reliance on general inflation measures alone presents several material difficulties: </w:t>
      </w:r>
    </w:p>
    <w:p w14:paraId="6E3AD116" w14:textId="77777777" w:rsidR="002C26E2" w:rsidRDefault="00812CB4">
      <w:pPr>
        <w:numPr>
          <w:ilvl w:val="0"/>
          <w:numId w:val="24"/>
        </w:numPr>
        <w:spacing w:after="113" w:line="265" w:lineRule="auto"/>
        <w:ind w:hanging="425"/>
      </w:pPr>
      <w:r>
        <w:rPr>
          <w:b/>
        </w:rPr>
        <w:t>Volatility and external shocks</w:t>
      </w:r>
      <w:r>
        <w:t xml:space="preserve"> </w:t>
      </w:r>
    </w:p>
    <w:p w14:paraId="61742E7A" w14:textId="77777777" w:rsidR="002C26E2" w:rsidRDefault="00812CB4">
      <w:pPr>
        <w:ind w:left="874" w:right="225"/>
      </w:pPr>
      <w:r>
        <w:t xml:space="preserve">Inflation over the period has been heavily influenced by external factors, including the COVID-19 pandemic and energy price shocks associated with the Ukraine conflict. These effects have produced unusually volatile inflation spikes that may not reflect long-term cost pressures faced by legal practitioners. </w:t>
      </w:r>
    </w:p>
    <w:p w14:paraId="4127F754" w14:textId="77777777" w:rsidR="002C26E2" w:rsidRDefault="00812CB4">
      <w:pPr>
        <w:numPr>
          <w:ilvl w:val="0"/>
          <w:numId w:val="24"/>
        </w:numPr>
        <w:spacing w:after="113" w:line="265" w:lineRule="auto"/>
        <w:ind w:hanging="425"/>
      </w:pPr>
      <w:r>
        <w:rPr>
          <w:b/>
        </w:rPr>
        <w:t>Wide divergence between inflation measures</w:t>
      </w:r>
      <w:r>
        <w:t xml:space="preserve"> </w:t>
      </w:r>
    </w:p>
    <w:p w14:paraId="354838C5" w14:textId="77777777" w:rsidR="002C26E2" w:rsidRDefault="00812CB4">
      <w:pPr>
        <w:ind w:left="872" w:right="225"/>
      </w:pPr>
      <w:r>
        <w:t xml:space="preserve">The significant variance between CPI, SPPI and GDP Deflator figures makes it difficult to identify a single, objectively appropriate uplift percentage. </w:t>
      </w:r>
    </w:p>
    <w:p w14:paraId="2EB69C95" w14:textId="77777777" w:rsidR="002C26E2" w:rsidRDefault="00812CB4">
      <w:pPr>
        <w:numPr>
          <w:ilvl w:val="0"/>
          <w:numId w:val="24"/>
        </w:numPr>
        <w:spacing w:after="113" w:line="265" w:lineRule="auto"/>
        <w:ind w:hanging="425"/>
      </w:pPr>
      <w:r>
        <w:rPr>
          <w:b/>
        </w:rPr>
        <w:t>Regional Disparity</w:t>
      </w:r>
      <w:r>
        <w:t xml:space="preserve">. </w:t>
      </w:r>
    </w:p>
    <w:p w14:paraId="2EA1D0C1" w14:textId="77777777" w:rsidR="002C26E2" w:rsidRDefault="00812CB4">
      <w:pPr>
        <w:spacing w:after="272"/>
        <w:ind w:left="874" w:right="225"/>
      </w:pPr>
      <w:r>
        <w:t>We also have what is called Regional Disparity, where UK wide inflation figures do not necessarily take account of Northern Ireland specific issues and wage rises. In 2025, Northern Ireland was the eighth-lowest earning region out of 12 UK regions as per analysis by Statista. Also, when we look at housing affordability, which is the ratio of house prices to average incomes, houses are significantly more affordable in Northern Ireland than across the UK. The UK ratio is two-thirds higher than that in Norther</w:t>
      </w:r>
      <w:r>
        <w:t>n Ireland</w:t>
      </w:r>
      <w:r>
        <w:rPr>
          <w:rFonts w:ascii="Times New Roman" w:eastAsia="Times New Roman" w:hAnsi="Times New Roman" w:cs="Times New Roman"/>
        </w:rPr>
        <w:t>.</w:t>
      </w:r>
      <w:r>
        <w:t xml:space="preserve"> </w:t>
      </w:r>
    </w:p>
    <w:p w14:paraId="10D240AD" w14:textId="77777777" w:rsidR="002C26E2" w:rsidRDefault="00812CB4">
      <w:pPr>
        <w:numPr>
          <w:ilvl w:val="0"/>
          <w:numId w:val="24"/>
        </w:numPr>
        <w:spacing w:after="113" w:line="265" w:lineRule="auto"/>
        <w:ind w:hanging="425"/>
      </w:pPr>
      <w:r>
        <w:rPr>
          <w:b/>
        </w:rPr>
        <w:t>Baseline reliability</w:t>
      </w:r>
      <w:r>
        <w:t xml:space="preserve"> </w:t>
      </w:r>
    </w:p>
    <w:p w14:paraId="6D07E80A" w14:textId="77777777" w:rsidR="002C26E2" w:rsidRDefault="00812CB4">
      <w:pPr>
        <w:spacing w:after="272"/>
        <w:ind w:left="742" w:right="225"/>
      </w:pPr>
      <w:r>
        <w:t xml:space="preserve">The starting point of 2016 fees may not fully reflect changes in work practices, case complexity, or procedural burdens, limiting the usefulness of inflation as a sole adjustment mechanism. </w:t>
      </w:r>
    </w:p>
    <w:p w14:paraId="635DB480" w14:textId="77777777" w:rsidR="002C26E2" w:rsidRDefault="00812CB4">
      <w:pPr>
        <w:ind w:left="7" w:right="225"/>
      </w:pPr>
      <w:r>
        <w:t xml:space="preserve">In addition, there is also a real risk of Wage-Price spiral when inflation alone guides an increase to salaries, where there is general agreement that matching inflation with wage growth means that organisations tend to pass higher costs onto the consumer, potentially worsening the inflationary cycle.  </w:t>
      </w:r>
    </w:p>
    <w:p w14:paraId="1CE28FDC" w14:textId="77777777" w:rsidR="002C26E2" w:rsidRDefault="00812CB4">
      <w:pPr>
        <w:spacing w:after="450"/>
        <w:ind w:left="7" w:right="225"/>
      </w:pPr>
      <w:r>
        <w:t>For these reasons, the Review Team does not consider general inflation, in isolation, to be a sufficiently robust or defensible basis for determining fee uplifts.</w:t>
      </w:r>
      <w:r>
        <w:rPr>
          <w:rFonts w:ascii="Times New Roman" w:eastAsia="Times New Roman" w:hAnsi="Times New Roman" w:cs="Times New Roman"/>
        </w:rPr>
        <w:t xml:space="preserve"> </w:t>
      </w:r>
    </w:p>
    <w:p w14:paraId="3AB599FA" w14:textId="77777777" w:rsidR="002C26E2" w:rsidRDefault="00812CB4">
      <w:pPr>
        <w:pStyle w:val="Heading2"/>
        <w:spacing w:after="313"/>
        <w:ind w:left="849" w:hanging="852"/>
      </w:pPr>
      <w:bookmarkStart w:id="36" w:name="_Toc107574"/>
      <w:r>
        <w:rPr>
          <w:color w:val="004E9A"/>
          <w:sz w:val="28"/>
        </w:rPr>
        <w:t>W</w:t>
      </w:r>
      <w:r>
        <w:rPr>
          <w:color w:val="004E9A"/>
        </w:rPr>
        <w:t>AGE</w:t>
      </w:r>
      <w:r>
        <w:t xml:space="preserve"> INFLATION AND COMPARATOR ANALYSIS</w:t>
      </w:r>
      <w:r>
        <w:rPr>
          <w:sz w:val="28"/>
        </w:rPr>
        <w:t xml:space="preserve"> </w:t>
      </w:r>
      <w:bookmarkEnd w:id="36"/>
    </w:p>
    <w:p w14:paraId="63E0E85B" w14:textId="77777777" w:rsidR="002C26E2" w:rsidRDefault="00812CB4">
      <w:pPr>
        <w:spacing w:after="109" w:line="265" w:lineRule="auto"/>
        <w:ind w:left="7"/>
      </w:pPr>
      <w:r>
        <w:rPr>
          <w:u w:val="single" w:color="000000"/>
        </w:rPr>
        <w:t>Rationale for using wage comparators</w:t>
      </w:r>
      <w:r>
        <w:t xml:space="preserve"> </w:t>
      </w:r>
    </w:p>
    <w:p w14:paraId="463ED169" w14:textId="77777777" w:rsidR="002C26E2" w:rsidRDefault="00812CB4">
      <w:pPr>
        <w:spacing w:after="114"/>
        <w:ind w:left="7" w:right="225"/>
      </w:pPr>
      <w:r>
        <w:t xml:space="preserve">In place of general inflation, the Review Team considers that </w:t>
      </w:r>
      <w:r>
        <w:rPr>
          <w:b/>
        </w:rPr>
        <w:t>wage inflation in relevant, publicly funded comparator sectors</w:t>
      </w:r>
      <w:r>
        <w:t xml:space="preserve"> provides a more stable and appropriate reference point when assessing changes to criminal legal aid remuneration for the purposes of this Review. </w:t>
      </w:r>
    </w:p>
    <w:p w14:paraId="72F487A0" w14:textId="77777777" w:rsidR="002C26E2" w:rsidRDefault="00812CB4">
      <w:pPr>
        <w:spacing w:line="259" w:lineRule="auto"/>
        <w:ind w:left="7" w:right="225"/>
      </w:pPr>
      <w:r>
        <w:t xml:space="preserve">This approach reflects: </w:t>
      </w:r>
    </w:p>
    <w:p w14:paraId="2A040734" w14:textId="77777777" w:rsidR="002C26E2" w:rsidRDefault="00812CB4">
      <w:pPr>
        <w:numPr>
          <w:ilvl w:val="0"/>
          <w:numId w:val="25"/>
        </w:numPr>
        <w:spacing w:after="118" w:line="259" w:lineRule="auto"/>
        <w:ind w:right="225" w:hanging="360"/>
      </w:pPr>
      <w:r>
        <w:t xml:space="preserve">The professional nature of legal services </w:t>
      </w:r>
    </w:p>
    <w:p w14:paraId="779515F4" w14:textId="77777777" w:rsidR="002C26E2" w:rsidRDefault="00812CB4">
      <w:pPr>
        <w:numPr>
          <w:ilvl w:val="0"/>
          <w:numId w:val="25"/>
        </w:numPr>
        <w:spacing w:after="116" w:line="259" w:lineRule="auto"/>
        <w:ind w:right="225" w:hanging="360"/>
      </w:pPr>
      <w:r>
        <w:t xml:space="preserve">The importance of skill, experience, and responsibility </w:t>
      </w:r>
    </w:p>
    <w:p w14:paraId="2D781718" w14:textId="77777777" w:rsidR="002C26E2" w:rsidRDefault="00812CB4">
      <w:pPr>
        <w:numPr>
          <w:ilvl w:val="0"/>
          <w:numId w:val="25"/>
        </w:numPr>
        <w:spacing w:after="396" w:line="259" w:lineRule="auto"/>
        <w:ind w:right="225" w:hanging="360"/>
      </w:pPr>
      <w:r>
        <w:t xml:space="preserve">The public funding context of criminal legal aid </w:t>
      </w:r>
    </w:p>
    <w:p w14:paraId="731ACB75" w14:textId="77777777" w:rsidR="002C26E2" w:rsidRDefault="00812CB4">
      <w:pPr>
        <w:spacing w:line="259" w:lineRule="auto"/>
        <w:ind w:left="7" w:right="225"/>
      </w:pPr>
      <w:r>
        <w:t xml:space="preserve">The two comparator sectors selected are: </w:t>
      </w:r>
    </w:p>
    <w:p w14:paraId="65FC3C3D" w14:textId="77777777" w:rsidR="002C26E2" w:rsidRDefault="00812CB4">
      <w:pPr>
        <w:numPr>
          <w:ilvl w:val="0"/>
          <w:numId w:val="25"/>
        </w:numPr>
        <w:spacing w:after="113" w:line="265" w:lineRule="auto"/>
        <w:ind w:right="225" w:hanging="360"/>
      </w:pPr>
      <w:r>
        <w:t xml:space="preserve">The </w:t>
      </w:r>
      <w:r>
        <w:rPr>
          <w:b/>
        </w:rPr>
        <w:t>Northern Ireland Senior Civil Service</w:t>
      </w:r>
      <w:r>
        <w:t xml:space="preserve"> </w:t>
      </w:r>
    </w:p>
    <w:p w14:paraId="189FF05D" w14:textId="77777777" w:rsidR="002C26E2" w:rsidRDefault="00812CB4">
      <w:pPr>
        <w:numPr>
          <w:ilvl w:val="0"/>
          <w:numId w:val="25"/>
        </w:numPr>
        <w:spacing w:after="390" w:line="265" w:lineRule="auto"/>
        <w:ind w:right="225" w:hanging="360"/>
      </w:pPr>
      <w:r>
        <w:t xml:space="preserve">The </w:t>
      </w:r>
      <w:r>
        <w:rPr>
          <w:b/>
        </w:rPr>
        <w:t>Northern Ireland Judiciary</w:t>
      </w:r>
      <w:r>
        <w:t xml:space="preserve"> </w:t>
      </w:r>
    </w:p>
    <w:p w14:paraId="4AD4F175" w14:textId="77777777" w:rsidR="002C26E2" w:rsidRDefault="00812CB4">
      <w:pPr>
        <w:spacing w:after="273"/>
        <w:ind w:left="7" w:right="225"/>
      </w:pPr>
      <w:r>
        <w:t xml:space="preserve">Of course, one can make an argument for which sectors should be considered, not least since such a choice can distort the figures and provide a result that supports one position or the other. However, we believe these two sectors provide a balanced approach and will prove to be useful comparators.  </w:t>
      </w:r>
    </w:p>
    <w:p w14:paraId="663FEEE4" w14:textId="77777777" w:rsidR="002C26E2" w:rsidRDefault="00812CB4">
      <w:pPr>
        <w:spacing w:after="275"/>
        <w:ind w:left="7" w:right="225"/>
      </w:pPr>
      <w:r>
        <w:t xml:space="preserve">Both are publicly funded, involve high levels of professional responsibility, and were also cited by the CBA as relevant comparators. </w:t>
      </w:r>
    </w:p>
    <w:p w14:paraId="3DBC956B" w14:textId="77777777" w:rsidR="002C26E2" w:rsidRDefault="00812CB4">
      <w:pPr>
        <w:spacing w:after="193"/>
        <w:ind w:left="7" w:right="225"/>
      </w:pPr>
      <w:r>
        <w:t xml:space="preserve">It should be noted that this methodology should not necessarily be viewed as a template for any subsequent reviews by the Department, as this </w:t>
      </w:r>
      <w:proofErr w:type="gramStart"/>
      <w:r>
        <w:t>particular approach</w:t>
      </w:r>
      <w:proofErr w:type="gramEnd"/>
      <w:r>
        <w:t xml:space="preserve"> was considered the one most suitable for this Review, at this time. </w:t>
      </w:r>
    </w:p>
    <w:p w14:paraId="030E1155" w14:textId="3790580A" w:rsidR="002C26E2" w:rsidRDefault="00812CB4" w:rsidP="00554D9A">
      <w:pPr>
        <w:spacing w:after="240" w:line="259" w:lineRule="auto"/>
        <w:ind w:left="12" w:firstLine="0"/>
      </w:pPr>
      <w:r>
        <w:t xml:space="preserve"> </w:t>
      </w:r>
      <w:r>
        <w:rPr>
          <w:u w:val="single" w:color="000000"/>
        </w:rPr>
        <w:t>NI Senior Civil Service</w:t>
      </w:r>
      <w:r>
        <w:t xml:space="preserve"> </w:t>
      </w:r>
    </w:p>
    <w:p w14:paraId="4DBB9809" w14:textId="77777777" w:rsidR="002C26E2" w:rsidRDefault="00812CB4">
      <w:pPr>
        <w:spacing w:after="0" w:line="259" w:lineRule="auto"/>
        <w:ind w:left="7" w:right="225"/>
      </w:pPr>
      <w:r>
        <w:t>In the Senior Civil Service, the pay scales on 1</w:t>
      </w:r>
      <w:r>
        <w:rPr>
          <w:vertAlign w:val="superscript"/>
        </w:rPr>
        <w:t>st</w:t>
      </w:r>
      <w:r>
        <w:t xml:space="preserve"> August 2016 are shown in the table below. </w:t>
      </w:r>
    </w:p>
    <w:tbl>
      <w:tblPr>
        <w:tblStyle w:val="TableGrid"/>
        <w:tblW w:w="8068" w:type="dxa"/>
        <w:tblInd w:w="24" w:type="dxa"/>
        <w:tblCellMar>
          <w:top w:w="49" w:type="dxa"/>
          <w:left w:w="106" w:type="dxa"/>
          <w:bottom w:w="0" w:type="dxa"/>
          <w:right w:w="115" w:type="dxa"/>
        </w:tblCellMar>
        <w:tblLook w:val="04A0" w:firstRow="1" w:lastRow="0" w:firstColumn="1" w:lastColumn="0" w:noHBand="0" w:noVBand="1"/>
      </w:tblPr>
      <w:tblGrid>
        <w:gridCol w:w="1636"/>
        <w:gridCol w:w="1612"/>
        <w:gridCol w:w="1558"/>
        <w:gridCol w:w="1702"/>
        <w:gridCol w:w="1560"/>
      </w:tblGrid>
      <w:tr w:rsidR="002C26E2" w14:paraId="476A3151" w14:textId="77777777">
        <w:trPr>
          <w:trHeight w:val="523"/>
        </w:trPr>
        <w:tc>
          <w:tcPr>
            <w:tcW w:w="1636" w:type="dxa"/>
            <w:tcBorders>
              <w:top w:val="single" w:sz="8" w:space="0" w:color="000000"/>
              <w:left w:val="single" w:sz="8" w:space="0" w:color="000000"/>
              <w:bottom w:val="single" w:sz="8" w:space="0" w:color="000000"/>
              <w:right w:val="nil"/>
            </w:tcBorders>
            <w:shd w:val="clear" w:color="auto" w:fill="424996"/>
          </w:tcPr>
          <w:p w14:paraId="30C466EB" w14:textId="77777777" w:rsidR="002C26E2" w:rsidRDefault="002C26E2">
            <w:pPr>
              <w:spacing w:after="160" w:line="259" w:lineRule="auto"/>
              <w:ind w:left="0" w:firstLine="0"/>
            </w:pPr>
          </w:p>
        </w:tc>
        <w:tc>
          <w:tcPr>
            <w:tcW w:w="1612" w:type="dxa"/>
            <w:tcBorders>
              <w:top w:val="single" w:sz="8" w:space="0" w:color="000000"/>
              <w:left w:val="nil"/>
              <w:bottom w:val="single" w:sz="8" w:space="0" w:color="000000"/>
              <w:right w:val="nil"/>
            </w:tcBorders>
            <w:shd w:val="clear" w:color="auto" w:fill="424996"/>
          </w:tcPr>
          <w:p w14:paraId="79AD0116" w14:textId="77777777" w:rsidR="002C26E2" w:rsidRDefault="002C26E2">
            <w:pPr>
              <w:spacing w:after="160" w:line="259" w:lineRule="auto"/>
              <w:ind w:left="0" w:firstLine="0"/>
            </w:pPr>
          </w:p>
        </w:tc>
        <w:tc>
          <w:tcPr>
            <w:tcW w:w="1558" w:type="dxa"/>
            <w:tcBorders>
              <w:top w:val="single" w:sz="8" w:space="0" w:color="000000"/>
              <w:left w:val="nil"/>
              <w:bottom w:val="single" w:sz="8" w:space="0" w:color="000000"/>
              <w:right w:val="nil"/>
            </w:tcBorders>
            <w:shd w:val="clear" w:color="auto" w:fill="424996"/>
          </w:tcPr>
          <w:p w14:paraId="7D0FA046" w14:textId="77777777" w:rsidR="002C26E2" w:rsidRDefault="00812CB4">
            <w:pPr>
              <w:spacing w:after="0" w:line="259" w:lineRule="auto"/>
              <w:ind w:left="17" w:firstLine="0"/>
              <w:jc w:val="center"/>
            </w:pPr>
            <w:r>
              <w:rPr>
                <w:b/>
                <w:color w:val="FFFFFF"/>
                <w:sz w:val="20"/>
              </w:rPr>
              <w:t xml:space="preserve">01-Aug-16 </w:t>
            </w:r>
          </w:p>
        </w:tc>
        <w:tc>
          <w:tcPr>
            <w:tcW w:w="1702" w:type="dxa"/>
            <w:tcBorders>
              <w:top w:val="single" w:sz="8" w:space="0" w:color="000000"/>
              <w:left w:val="nil"/>
              <w:bottom w:val="single" w:sz="8" w:space="0" w:color="000000"/>
              <w:right w:val="nil"/>
            </w:tcBorders>
            <w:shd w:val="clear" w:color="auto" w:fill="424996"/>
          </w:tcPr>
          <w:p w14:paraId="5B84A439" w14:textId="77777777" w:rsidR="002C26E2" w:rsidRDefault="002C26E2">
            <w:pPr>
              <w:spacing w:after="160" w:line="259" w:lineRule="auto"/>
              <w:ind w:left="0" w:firstLine="0"/>
            </w:pPr>
          </w:p>
        </w:tc>
        <w:tc>
          <w:tcPr>
            <w:tcW w:w="1560" w:type="dxa"/>
            <w:tcBorders>
              <w:top w:val="single" w:sz="8" w:space="0" w:color="000000"/>
              <w:left w:val="nil"/>
              <w:bottom w:val="single" w:sz="8" w:space="0" w:color="000000"/>
              <w:right w:val="single" w:sz="8" w:space="0" w:color="000000"/>
            </w:tcBorders>
            <w:shd w:val="clear" w:color="auto" w:fill="424996"/>
          </w:tcPr>
          <w:p w14:paraId="0A9D1639" w14:textId="77777777" w:rsidR="002C26E2" w:rsidRDefault="002C26E2">
            <w:pPr>
              <w:spacing w:after="160" w:line="259" w:lineRule="auto"/>
              <w:ind w:left="0" w:firstLine="0"/>
            </w:pPr>
          </w:p>
        </w:tc>
      </w:tr>
      <w:tr w:rsidR="002C26E2" w14:paraId="77C34283" w14:textId="77777777">
        <w:trPr>
          <w:trHeight w:val="662"/>
        </w:trPr>
        <w:tc>
          <w:tcPr>
            <w:tcW w:w="1636" w:type="dxa"/>
            <w:tcBorders>
              <w:top w:val="single" w:sz="8" w:space="0" w:color="000000"/>
              <w:left w:val="single" w:sz="8" w:space="0" w:color="000000"/>
              <w:bottom w:val="single" w:sz="8" w:space="0" w:color="000000"/>
              <w:right w:val="single" w:sz="8" w:space="0" w:color="000000"/>
            </w:tcBorders>
            <w:shd w:val="clear" w:color="auto" w:fill="424996"/>
          </w:tcPr>
          <w:p w14:paraId="4FF2DB7F" w14:textId="77777777" w:rsidR="002C26E2" w:rsidRDefault="00812CB4">
            <w:pPr>
              <w:spacing w:after="0" w:line="259" w:lineRule="auto"/>
              <w:ind w:left="0" w:firstLine="0"/>
            </w:pPr>
            <w:r>
              <w:rPr>
                <w:b/>
                <w:color w:val="FFFFFF"/>
                <w:sz w:val="20"/>
              </w:rPr>
              <w:t xml:space="preserve">   </w:t>
            </w:r>
          </w:p>
        </w:tc>
        <w:tc>
          <w:tcPr>
            <w:tcW w:w="1612" w:type="dxa"/>
            <w:tcBorders>
              <w:top w:val="single" w:sz="8" w:space="0" w:color="000000"/>
              <w:left w:val="single" w:sz="8" w:space="0" w:color="000000"/>
              <w:bottom w:val="single" w:sz="8" w:space="0" w:color="000000"/>
              <w:right w:val="single" w:sz="8" w:space="0" w:color="000000"/>
            </w:tcBorders>
            <w:shd w:val="clear" w:color="auto" w:fill="424996"/>
          </w:tcPr>
          <w:p w14:paraId="32DB86A2" w14:textId="77777777" w:rsidR="002C26E2" w:rsidRDefault="00812CB4">
            <w:pPr>
              <w:spacing w:after="0" w:line="259" w:lineRule="auto"/>
              <w:ind w:left="4" w:firstLine="0"/>
            </w:pPr>
            <w:r>
              <w:rPr>
                <w:b/>
                <w:color w:val="FFFFFF"/>
                <w:sz w:val="20"/>
              </w:rPr>
              <w:t xml:space="preserve">Pay Scale 1  </w:t>
            </w:r>
          </w:p>
        </w:tc>
        <w:tc>
          <w:tcPr>
            <w:tcW w:w="1558" w:type="dxa"/>
            <w:tcBorders>
              <w:top w:val="single" w:sz="8" w:space="0" w:color="000000"/>
              <w:left w:val="single" w:sz="8" w:space="0" w:color="000000"/>
              <w:bottom w:val="single" w:sz="8" w:space="0" w:color="000000"/>
              <w:right w:val="single" w:sz="8" w:space="0" w:color="000000"/>
            </w:tcBorders>
            <w:shd w:val="clear" w:color="auto" w:fill="424996"/>
          </w:tcPr>
          <w:p w14:paraId="2AC8B31E" w14:textId="77777777" w:rsidR="002C26E2" w:rsidRDefault="00812CB4">
            <w:pPr>
              <w:spacing w:after="0" w:line="259" w:lineRule="auto"/>
              <w:ind w:left="5" w:firstLine="0"/>
            </w:pPr>
            <w:r>
              <w:rPr>
                <w:b/>
                <w:color w:val="FFFFFF"/>
                <w:sz w:val="20"/>
              </w:rPr>
              <w:t xml:space="preserve">Pay Scale 2  </w:t>
            </w:r>
          </w:p>
        </w:tc>
        <w:tc>
          <w:tcPr>
            <w:tcW w:w="1702" w:type="dxa"/>
            <w:tcBorders>
              <w:top w:val="single" w:sz="8" w:space="0" w:color="000000"/>
              <w:left w:val="single" w:sz="8" w:space="0" w:color="000000"/>
              <w:bottom w:val="single" w:sz="8" w:space="0" w:color="000000"/>
              <w:right w:val="single" w:sz="8" w:space="0" w:color="000000"/>
            </w:tcBorders>
            <w:shd w:val="clear" w:color="auto" w:fill="424996"/>
          </w:tcPr>
          <w:p w14:paraId="708C5D90" w14:textId="77777777" w:rsidR="002C26E2" w:rsidRDefault="00812CB4">
            <w:pPr>
              <w:spacing w:after="0" w:line="259" w:lineRule="auto"/>
              <w:ind w:left="5" w:firstLine="0"/>
            </w:pPr>
            <w:r>
              <w:rPr>
                <w:b/>
                <w:color w:val="FFFFFF"/>
                <w:sz w:val="20"/>
              </w:rPr>
              <w:t xml:space="preserve">Pay Scale 3  </w:t>
            </w:r>
          </w:p>
        </w:tc>
        <w:tc>
          <w:tcPr>
            <w:tcW w:w="1560" w:type="dxa"/>
            <w:tcBorders>
              <w:top w:val="single" w:sz="8" w:space="0" w:color="000000"/>
              <w:left w:val="single" w:sz="8" w:space="0" w:color="000000"/>
              <w:bottom w:val="single" w:sz="8" w:space="0" w:color="000000"/>
              <w:right w:val="single" w:sz="8" w:space="0" w:color="000000"/>
            </w:tcBorders>
            <w:shd w:val="clear" w:color="auto" w:fill="424996"/>
          </w:tcPr>
          <w:p w14:paraId="53EE4B15" w14:textId="77777777" w:rsidR="002C26E2" w:rsidRDefault="00812CB4">
            <w:pPr>
              <w:spacing w:after="0" w:line="259" w:lineRule="auto"/>
              <w:ind w:left="5" w:firstLine="0"/>
            </w:pPr>
            <w:r>
              <w:rPr>
                <w:b/>
                <w:color w:val="FFFFFF"/>
                <w:sz w:val="20"/>
              </w:rPr>
              <w:t xml:space="preserve">Pay Scale 4  </w:t>
            </w:r>
          </w:p>
        </w:tc>
      </w:tr>
      <w:tr w:rsidR="002C26E2" w14:paraId="0B5E2A4F" w14:textId="77777777">
        <w:trPr>
          <w:trHeight w:val="528"/>
        </w:trPr>
        <w:tc>
          <w:tcPr>
            <w:tcW w:w="1636" w:type="dxa"/>
            <w:tcBorders>
              <w:top w:val="single" w:sz="8" w:space="0" w:color="000000"/>
              <w:left w:val="single" w:sz="8" w:space="0" w:color="000000"/>
              <w:bottom w:val="single" w:sz="8" w:space="0" w:color="000000"/>
              <w:right w:val="single" w:sz="8" w:space="0" w:color="000000"/>
            </w:tcBorders>
          </w:tcPr>
          <w:p w14:paraId="18DB8C49" w14:textId="77777777" w:rsidR="002C26E2" w:rsidRDefault="00812CB4">
            <w:pPr>
              <w:spacing w:after="0" w:line="259" w:lineRule="auto"/>
              <w:ind w:left="8" w:firstLine="0"/>
              <w:jc w:val="center"/>
            </w:pPr>
            <w:r>
              <w:rPr>
                <w:b/>
                <w:sz w:val="20"/>
              </w:rPr>
              <w:t xml:space="preserve">Minimum  </w:t>
            </w:r>
          </w:p>
        </w:tc>
        <w:tc>
          <w:tcPr>
            <w:tcW w:w="1612" w:type="dxa"/>
            <w:tcBorders>
              <w:top w:val="single" w:sz="8" w:space="0" w:color="000000"/>
              <w:left w:val="single" w:sz="8" w:space="0" w:color="000000"/>
              <w:bottom w:val="single" w:sz="8" w:space="0" w:color="000000"/>
              <w:right w:val="single" w:sz="8" w:space="0" w:color="000000"/>
            </w:tcBorders>
          </w:tcPr>
          <w:p w14:paraId="39A18730" w14:textId="77777777" w:rsidR="002C26E2" w:rsidRDefault="00812CB4">
            <w:pPr>
              <w:spacing w:after="0" w:line="259" w:lineRule="auto"/>
              <w:ind w:left="9" w:firstLine="0"/>
              <w:jc w:val="center"/>
            </w:pPr>
            <w:r>
              <w:rPr>
                <w:sz w:val="20"/>
              </w:rPr>
              <w:t xml:space="preserve">68,961 </w:t>
            </w:r>
          </w:p>
        </w:tc>
        <w:tc>
          <w:tcPr>
            <w:tcW w:w="1558" w:type="dxa"/>
            <w:tcBorders>
              <w:top w:val="single" w:sz="8" w:space="0" w:color="000000"/>
              <w:left w:val="single" w:sz="8" w:space="0" w:color="000000"/>
              <w:bottom w:val="single" w:sz="8" w:space="0" w:color="000000"/>
              <w:right w:val="single" w:sz="8" w:space="0" w:color="000000"/>
            </w:tcBorders>
          </w:tcPr>
          <w:p w14:paraId="04CC1EE6" w14:textId="77777777" w:rsidR="002C26E2" w:rsidRDefault="00812CB4">
            <w:pPr>
              <w:spacing w:after="0" w:line="259" w:lineRule="auto"/>
              <w:ind w:left="12" w:firstLine="0"/>
              <w:jc w:val="center"/>
            </w:pPr>
            <w:r>
              <w:rPr>
                <w:sz w:val="20"/>
              </w:rPr>
              <w:t xml:space="preserve">88,596 </w:t>
            </w:r>
          </w:p>
        </w:tc>
        <w:tc>
          <w:tcPr>
            <w:tcW w:w="1702" w:type="dxa"/>
            <w:tcBorders>
              <w:top w:val="single" w:sz="8" w:space="0" w:color="000000"/>
              <w:left w:val="single" w:sz="8" w:space="0" w:color="000000"/>
              <w:bottom w:val="single" w:sz="8" w:space="0" w:color="000000"/>
              <w:right w:val="single" w:sz="8" w:space="0" w:color="000000"/>
            </w:tcBorders>
          </w:tcPr>
          <w:p w14:paraId="25CA0498" w14:textId="77777777" w:rsidR="002C26E2" w:rsidRDefault="00812CB4">
            <w:pPr>
              <w:spacing w:after="0" w:line="259" w:lineRule="auto"/>
              <w:ind w:left="11" w:firstLine="0"/>
              <w:jc w:val="center"/>
            </w:pPr>
            <w:r>
              <w:rPr>
                <w:sz w:val="20"/>
              </w:rPr>
              <w:t xml:space="preserve">114,047 </w:t>
            </w:r>
          </w:p>
        </w:tc>
        <w:tc>
          <w:tcPr>
            <w:tcW w:w="1560" w:type="dxa"/>
            <w:tcBorders>
              <w:top w:val="single" w:sz="8" w:space="0" w:color="000000"/>
              <w:left w:val="single" w:sz="8" w:space="0" w:color="000000"/>
              <w:bottom w:val="single" w:sz="8" w:space="0" w:color="000000"/>
              <w:right w:val="single" w:sz="8" w:space="0" w:color="000000"/>
            </w:tcBorders>
          </w:tcPr>
          <w:p w14:paraId="521F070C" w14:textId="77777777" w:rsidR="002C26E2" w:rsidRDefault="00812CB4">
            <w:pPr>
              <w:spacing w:after="0" w:line="259" w:lineRule="auto"/>
              <w:ind w:firstLine="0"/>
              <w:jc w:val="center"/>
            </w:pPr>
            <w:r>
              <w:rPr>
                <w:sz w:val="20"/>
              </w:rPr>
              <w:t xml:space="preserve">153,933 </w:t>
            </w:r>
          </w:p>
        </w:tc>
      </w:tr>
      <w:tr w:rsidR="002C26E2" w14:paraId="4809382A" w14:textId="77777777">
        <w:trPr>
          <w:trHeight w:val="524"/>
        </w:trPr>
        <w:tc>
          <w:tcPr>
            <w:tcW w:w="1636" w:type="dxa"/>
            <w:tcBorders>
              <w:top w:val="single" w:sz="8" w:space="0" w:color="000000"/>
              <w:left w:val="single" w:sz="8" w:space="0" w:color="000000"/>
              <w:bottom w:val="single" w:sz="8" w:space="0" w:color="000000"/>
              <w:right w:val="single" w:sz="8" w:space="0" w:color="000000"/>
            </w:tcBorders>
          </w:tcPr>
          <w:p w14:paraId="3689CF19" w14:textId="77777777" w:rsidR="002C26E2" w:rsidRDefault="00812CB4">
            <w:pPr>
              <w:spacing w:after="0" w:line="259" w:lineRule="auto"/>
              <w:ind w:left="6" w:firstLine="0"/>
              <w:jc w:val="center"/>
            </w:pPr>
            <w:r>
              <w:rPr>
                <w:b/>
                <w:sz w:val="20"/>
              </w:rPr>
              <w:t xml:space="preserve">2 </w:t>
            </w:r>
          </w:p>
        </w:tc>
        <w:tc>
          <w:tcPr>
            <w:tcW w:w="1612" w:type="dxa"/>
            <w:tcBorders>
              <w:top w:val="single" w:sz="8" w:space="0" w:color="000000"/>
              <w:left w:val="single" w:sz="8" w:space="0" w:color="000000"/>
              <w:bottom w:val="single" w:sz="8" w:space="0" w:color="000000"/>
              <w:right w:val="single" w:sz="8" w:space="0" w:color="000000"/>
            </w:tcBorders>
          </w:tcPr>
          <w:p w14:paraId="5FDAC6F9" w14:textId="77777777" w:rsidR="002C26E2" w:rsidRDefault="00812CB4">
            <w:pPr>
              <w:spacing w:after="0" w:line="259" w:lineRule="auto"/>
              <w:ind w:left="9" w:firstLine="0"/>
              <w:jc w:val="center"/>
            </w:pPr>
            <w:r>
              <w:rPr>
                <w:sz w:val="20"/>
              </w:rPr>
              <w:t xml:space="preserve">70,403 </w:t>
            </w:r>
          </w:p>
        </w:tc>
        <w:tc>
          <w:tcPr>
            <w:tcW w:w="1558" w:type="dxa"/>
            <w:tcBorders>
              <w:top w:val="single" w:sz="8" w:space="0" w:color="000000"/>
              <w:left w:val="single" w:sz="8" w:space="0" w:color="000000"/>
              <w:bottom w:val="single" w:sz="8" w:space="0" w:color="000000"/>
              <w:right w:val="single" w:sz="8" w:space="0" w:color="000000"/>
            </w:tcBorders>
          </w:tcPr>
          <w:p w14:paraId="671036F1" w14:textId="77777777" w:rsidR="002C26E2" w:rsidRDefault="00812CB4">
            <w:pPr>
              <w:spacing w:after="0" w:line="259" w:lineRule="auto"/>
              <w:ind w:left="12" w:firstLine="0"/>
              <w:jc w:val="center"/>
            </w:pPr>
            <w:r>
              <w:rPr>
                <w:sz w:val="20"/>
              </w:rPr>
              <w:t xml:space="preserve">90,381 </w:t>
            </w:r>
          </w:p>
        </w:tc>
        <w:tc>
          <w:tcPr>
            <w:tcW w:w="1702" w:type="dxa"/>
            <w:tcBorders>
              <w:top w:val="single" w:sz="8" w:space="0" w:color="000000"/>
              <w:left w:val="single" w:sz="8" w:space="0" w:color="000000"/>
              <w:bottom w:val="single" w:sz="8" w:space="0" w:color="000000"/>
              <w:right w:val="single" w:sz="8" w:space="0" w:color="000000"/>
            </w:tcBorders>
          </w:tcPr>
          <w:p w14:paraId="74189862" w14:textId="77777777" w:rsidR="002C26E2" w:rsidRDefault="00812CB4">
            <w:pPr>
              <w:spacing w:after="0" w:line="259" w:lineRule="auto"/>
              <w:ind w:left="11" w:firstLine="0"/>
              <w:jc w:val="center"/>
            </w:pPr>
            <w:r>
              <w:rPr>
                <w:sz w:val="20"/>
              </w:rPr>
              <w:t xml:space="preserve">116,801 </w:t>
            </w:r>
          </w:p>
        </w:tc>
        <w:tc>
          <w:tcPr>
            <w:tcW w:w="1560" w:type="dxa"/>
            <w:tcBorders>
              <w:top w:val="single" w:sz="8" w:space="0" w:color="000000"/>
              <w:left w:val="single" w:sz="8" w:space="0" w:color="000000"/>
              <w:bottom w:val="single" w:sz="8" w:space="0" w:color="000000"/>
              <w:right w:val="single" w:sz="8" w:space="0" w:color="000000"/>
            </w:tcBorders>
          </w:tcPr>
          <w:p w14:paraId="6E9AE9D3" w14:textId="77777777" w:rsidR="002C26E2" w:rsidRDefault="00812CB4">
            <w:pPr>
              <w:spacing w:after="0" w:line="259" w:lineRule="auto"/>
              <w:ind w:firstLine="0"/>
              <w:jc w:val="center"/>
            </w:pPr>
            <w:r>
              <w:rPr>
                <w:sz w:val="20"/>
              </w:rPr>
              <w:t xml:space="preserve">157,728 </w:t>
            </w:r>
          </w:p>
        </w:tc>
      </w:tr>
      <w:tr w:rsidR="002C26E2" w14:paraId="36AB2D56" w14:textId="77777777">
        <w:trPr>
          <w:trHeight w:val="526"/>
        </w:trPr>
        <w:tc>
          <w:tcPr>
            <w:tcW w:w="1636" w:type="dxa"/>
            <w:tcBorders>
              <w:top w:val="single" w:sz="8" w:space="0" w:color="000000"/>
              <w:left w:val="single" w:sz="8" w:space="0" w:color="000000"/>
              <w:bottom w:val="single" w:sz="8" w:space="0" w:color="000000"/>
              <w:right w:val="single" w:sz="8" w:space="0" w:color="000000"/>
            </w:tcBorders>
          </w:tcPr>
          <w:p w14:paraId="24BC8E7B" w14:textId="77777777" w:rsidR="002C26E2" w:rsidRDefault="00812CB4">
            <w:pPr>
              <w:spacing w:after="0" w:line="259" w:lineRule="auto"/>
              <w:ind w:left="6" w:firstLine="0"/>
              <w:jc w:val="center"/>
            </w:pPr>
            <w:r>
              <w:rPr>
                <w:b/>
                <w:sz w:val="20"/>
              </w:rPr>
              <w:t xml:space="preserve">3 </w:t>
            </w:r>
          </w:p>
        </w:tc>
        <w:tc>
          <w:tcPr>
            <w:tcW w:w="1612" w:type="dxa"/>
            <w:tcBorders>
              <w:top w:val="single" w:sz="8" w:space="0" w:color="000000"/>
              <w:left w:val="single" w:sz="8" w:space="0" w:color="000000"/>
              <w:bottom w:val="single" w:sz="8" w:space="0" w:color="000000"/>
              <w:right w:val="single" w:sz="8" w:space="0" w:color="000000"/>
            </w:tcBorders>
          </w:tcPr>
          <w:p w14:paraId="70B2DBBF" w14:textId="77777777" w:rsidR="002C26E2" w:rsidRDefault="00812CB4">
            <w:pPr>
              <w:spacing w:after="0" w:line="259" w:lineRule="auto"/>
              <w:ind w:left="9" w:firstLine="0"/>
              <w:jc w:val="center"/>
            </w:pPr>
            <w:r>
              <w:rPr>
                <w:sz w:val="20"/>
              </w:rPr>
              <w:t xml:space="preserve">71,845 </w:t>
            </w:r>
          </w:p>
        </w:tc>
        <w:tc>
          <w:tcPr>
            <w:tcW w:w="1558" w:type="dxa"/>
            <w:tcBorders>
              <w:top w:val="single" w:sz="8" w:space="0" w:color="000000"/>
              <w:left w:val="single" w:sz="8" w:space="0" w:color="000000"/>
              <w:bottom w:val="single" w:sz="8" w:space="0" w:color="000000"/>
              <w:right w:val="single" w:sz="8" w:space="0" w:color="000000"/>
            </w:tcBorders>
          </w:tcPr>
          <w:p w14:paraId="18A53124" w14:textId="77777777" w:rsidR="002C26E2" w:rsidRDefault="00812CB4">
            <w:pPr>
              <w:spacing w:after="0" w:line="259" w:lineRule="auto"/>
              <w:ind w:left="12" w:firstLine="0"/>
              <w:jc w:val="center"/>
            </w:pPr>
            <w:r>
              <w:rPr>
                <w:sz w:val="20"/>
              </w:rPr>
              <w:t xml:space="preserve">92,167 </w:t>
            </w:r>
          </w:p>
        </w:tc>
        <w:tc>
          <w:tcPr>
            <w:tcW w:w="1702" w:type="dxa"/>
            <w:tcBorders>
              <w:top w:val="single" w:sz="8" w:space="0" w:color="000000"/>
              <w:left w:val="single" w:sz="8" w:space="0" w:color="000000"/>
              <w:bottom w:val="single" w:sz="8" w:space="0" w:color="000000"/>
              <w:right w:val="single" w:sz="8" w:space="0" w:color="000000"/>
            </w:tcBorders>
          </w:tcPr>
          <w:p w14:paraId="145AE435" w14:textId="77777777" w:rsidR="002C26E2" w:rsidRDefault="00812CB4">
            <w:pPr>
              <w:spacing w:after="0" w:line="259" w:lineRule="auto"/>
              <w:ind w:left="11" w:firstLine="0"/>
              <w:jc w:val="center"/>
            </w:pPr>
            <w:r>
              <w:rPr>
                <w:sz w:val="20"/>
              </w:rPr>
              <w:t xml:space="preserve">119,556 </w:t>
            </w:r>
          </w:p>
        </w:tc>
        <w:tc>
          <w:tcPr>
            <w:tcW w:w="1560" w:type="dxa"/>
            <w:tcBorders>
              <w:top w:val="single" w:sz="8" w:space="0" w:color="000000"/>
              <w:left w:val="single" w:sz="8" w:space="0" w:color="000000"/>
              <w:bottom w:val="single" w:sz="8" w:space="0" w:color="000000"/>
              <w:right w:val="single" w:sz="8" w:space="0" w:color="000000"/>
            </w:tcBorders>
          </w:tcPr>
          <w:p w14:paraId="7DF18C95" w14:textId="77777777" w:rsidR="002C26E2" w:rsidRDefault="00812CB4">
            <w:pPr>
              <w:spacing w:after="0" w:line="259" w:lineRule="auto"/>
              <w:ind w:firstLine="0"/>
              <w:jc w:val="center"/>
            </w:pPr>
            <w:r>
              <w:rPr>
                <w:sz w:val="20"/>
              </w:rPr>
              <w:t xml:space="preserve">161,522 </w:t>
            </w:r>
          </w:p>
        </w:tc>
      </w:tr>
      <w:tr w:rsidR="002C26E2" w14:paraId="7F210D45" w14:textId="77777777">
        <w:trPr>
          <w:trHeight w:val="526"/>
        </w:trPr>
        <w:tc>
          <w:tcPr>
            <w:tcW w:w="1636" w:type="dxa"/>
            <w:tcBorders>
              <w:top w:val="single" w:sz="8" w:space="0" w:color="000000"/>
              <w:left w:val="single" w:sz="8" w:space="0" w:color="000000"/>
              <w:bottom w:val="single" w:sz="8" w:space="0" w:color="000000"/>
              <w:right w:val="single" w:sz="8" w:space="0" w:color="000000"/>
            </w:tcBorders>
          </w:tcPr>
          <w:p w14:paraId="5FF703CC" w14:textId="77777777" w:rsidR="002C26E2" w:rsidRDefault="00812CB4">
            <w:pPr>
              <w:spacing w:after="0" w:line="259" w:lineRule="auto"/>
              <w:ind w:left="6" w:firstLine="0"/>
              <w:jc w:val="center"/>
            </w:pPr>
            <w:r>
              <w:rPr>
                <w:b/>
                <w:sz w:val="20"/>
              </w:rPr>
              <w:t xml:space="preserve">4 </w:t>
            </w:r>
          </w:p>
        </w:tc>
        <w:tc>
          <w:tcPr>
            <w:tcW w:w="1612" w:type="dxa"/>
            <w:tcBorders>
              <w:top w:val="single" w:sz="8" w:space="0" w:color="000000"/>
              <w:left w:val="single" w:sz="8" w:space="0" w:color="000000"/>
              <w:bottom w:val="single" w:sz="8" w:space="0" w:color="000000"/>
              <w:right w:val="single" w:sz="8" w:space="0" w:color="000000"/>
            </w:tcBorders>
          </w:tcPr>
          <w:p w14:paraId="225994DC" w14:textId="77777777" w:rsidR="002C26E2" w:rsidRDefault="00812CB4">
            <w:pPr>
              <w:spacing w:after="0" w:line="259" w:lineRule="auto"/>
              <w:ind w:left="9" w:firstLine="0"/>
              <w:jc w:val="center"/>
            </w:pPr>
            <w:r>
              <w:rPr>
                <w:sz w:val="20"/>
              </w:rPr>
              <w:t xml:space="preserve">73,288 </w:t>
            </w:r>
          </w:p>
        </w:tc>
        <w:tc>
          <w:tcPr>
            <w:tcW w:w="1558" w:type="dxa"/>
            <w:tcBorders>
              <w:top w:val="single" w:sz="8" w:space="0" w:color="000000"/>
              <w:left w:val="single" w:sz="8" w:space="0" w:color="000000"/>
              <w:bottom w:val="single" w:sz="8" w:space="0" w:color="000000"/>
              <w:right w:val="single" w:sz="8" w:space="0" w:color="000000"/>
            </w:tcBorders>
          </w:tcPr>
          <w:p w14:paraId="61B0770A" w14:textId="77777777" w:rsidR="002C26E2" w:rsidRDefault="00812CB4">
            <w:pPr>
              <w:spacing w:after="0" w:line="259" w:lineRule="auto"/>
              <w:ind w:left="12" w:firstLine="0"/>
              <w:jc w:val="center"/>
            </w:pPr>
            <w:r>
              <w:rPr>
                <w:sz w:val="20"/>
              </w:rPr>
              <w:t xml:space="preserve">93,951 </w:t>
            </w:r>
          </w:p>
        </w:tc>
        <w:tc>
          <w:tcPr>
            <w:tcW w:w="1702" w:type="dxa"/>
            <w:tcBorders>
              <w:top w:val="single" w:sz="8" w:space="0" w:color="000000"/>
              <w:left w:val="single" w:sz="8" w:space="0" w:color="000000"/>
              <w:bottom w:val="single" w:sz="8" w:space="0" w:color="000000"/>
              <w:right w:val="single" w:sz="8" w:space="0" w:color="000000"/>
            </w:tcBorders>
          </w:tcPr>
          <w:p w14:paraId="49D3A089" w14:textId="77777777" w:rsidR="002C26E2" w:rsidRDefault="00812CB4">
            <w:pPr>
              <w:spacing w:after="0" w:line="259" w:lineRule="auto"/>
              <w:ind w:left="11" w:firstLine="0"/>
              <w:jc w:val="center"/>
            </w:pPr>
            <w:r>
              <w:rPr>
                <w:sz w:val="20"/>
              </w:rPr>
              <w:t xml:space="preserve">122,310 </w:t>
            </w:r>
          </w:p>
        </w:tc>
        <w:tc>
          <w:tcPr>
            <w:tcW w:w="1560" w:type="dxa"/>
            <w:tcBorders>
              <w:top w:val="single" w:sz="8" w:space="0" w:color="000000"/>
              <w:left w:val="single" w:sz="8" w:space="0" w:color="000000"/>
              <w:bottom w:val="single" w:sz="8" w:space="0" w:color="000000"/>
              <w:right w:val="single" w:sz="8" w:space="0" w:color="000000"/>
            </w:tcBorders>
          </w:tcPr>
          <w:p w14:paraId="56C282CE" w14:textId="77777777" w:rsidR="002C26E2" w:rsidRDefault="00812CB4">
            <w:pPr>
              <w:spacing w:after="0" w:line="259" w:lineRule="auto"/>
              <w:ind w:firstLine="0"/>
              <w:jc w:val="center"/>
            </w:pPr>
            <w:r>
              <w:rPr>
                <w:sz w:val="20"/>
              </w:rPr>
              <w:t xml:space="preserve">165,318 </w:t>
            </w:r>
          </w:p>
        </w:tc>
      </w:tr>
      <w:tr w:rsidR="002C26E2" w14:paraId="7F7F9956" w14:textId="77777777">
        <w:trPr>
          <w:trHeight w:val="526"/>
        </w:trPr>
        <w:tc>
          <w:tcPr>
            <w:tcW w:w="1636" w:type="dxa"/>
            <w:tcBorders>
              <w:top w:val="single" w:sz="8" w:space="0" w:color="000000"/>
              <w:left w:val="single" w:sz="8" w:space="0" w:color="000000"/>
              <w:bottom w:val="single" w:sz="8" w:space="0" w:color="000000"/>
              <w:right w:val="single" w:sz="8" w:space="0" w:color="000000"/>
            </w:tcBorders>
          </w:tcPr>
          <w:p w14:paraId="32071A9C" w14:textId="77777777" w:rsidR="002C26E2" w:rsidRDefault="00812CB4">
            <w:pPr>
              <w:spacing w:after="0" w:line="259" w:lineRule="auto"/>
              <w:ind w:left="6" w:firstLine="0"/>
              <w:jc w:val="center"/>
            </w:pPr>
            <w:r>
              <w:rPr>
                <w:b/>
                <w:sz w:val="20"/>
              </w:rPr>
              <w:t xml:space="preserve">5 </w:t>
            </w:r>
          </w:p>
        </w:tc>
        <w:tc>
          <w:tcPr>
            <w:tcW w:w="1612" w:type="dxa"/>
            <w:tcBorders>
              <w:top w:val="single" w:sz="8" w:space="0" w:color="000000"/>
              <w:left w:val="single" w:sz="8" w:space="0" w:color="000000"/>
              <w:bottom w:val="single" w:sz="8" w:space="0" w:color="000000"/>
              <w:right w:val="single" w:sz="8" w:space="0" w:color="000000"/>
            </w:tcBorders>
          </w:tcPr>
          <w:p w14:paraId="5594A6F7" w14:textId="77777777" w:rsidR="002C26E2" w:rsidRDefault="00812CB4">
            <w:pPr>
              <w:spacing w:after="0" w:line="259" w:lineRule="auto"/>
              <w:ind w:left="9" w:firstLine="0"/>
              <w:jc w:val="center"/>
            </w:pPr>
            <w:r>
              <w:rPr>
                <w:sz w:val="20"/>
              </w:rPr>
              <w:t xml:space="preserve">74,731 </w:t>
            </w:r>
          </w:p>
        </w:tc>
        <w:tc>
          <w:tcPr>
            <w:tcW w:w="1558" w:type="dxa"/>
            <w:tcBorders>
              <w:top w:val="single" w:sz="8" w:space="0" w:color="000000"/>
              <w:left w:val="single" w:sz="8" w:space="0" w:color="000000"/>
              <w:bottom w:val="single" w:sz="8" w:space="0" w:color="000000"/>
              <w:right w:val="single" w:sz="8" w:space="0" w:color="000000"/>
            </w:tcBorders>
          </w:tcPr>
          <w:p w14:paraId="42D638D5" w14:textId="77777777" w:rsidR="002C26E2" w:rsidRDefault="00812CB4">
            <w:pPr>
              <w:spacing w:after="0" w:line="259" w:lineRule="auto"/>
              <w:ind w:left="12" w:firstLine="0"/>
              <w:jc w:val="center"/>
            </w:pPr>
            <w:r>
              <w:rPr>
                <w:sz w:val="20"/>
              </w:rPr>
              <w:t xml:space="preserve">95,737 </w:t>
            </w:r>
          </w:p>
        </w:tc>
        <w:tc>
          <w:tcPr>
            <w:tcW w:w="1702" w:type="dxa"/>
            <w:tcBorders>
              <w:top w:val="single" w:sz="8" w:space="0" w:color="000000"/>
              <w:left w:val="single" w:sz="8" w:space="0" w:color="000000"/>
              <w:bottom w:val="single" w:sz="8" w:space="0" w:color="000000"/>
              <w:right w:val="single" w:sz="8" w:space="0" w:color="000000"/>
            </w:tcBorders>
          </w:tcPr>
          <w:p w14:paraId="2F4F1AD2" w14:textId="77777777" w:rsidR="002C26E2" w:rsidRDefault="00812CB4">
            <w:pPr>
              <w:spacing w:after="0" w:line="259" w:lineRule="auto"/>
              <w:ind w:left="11" w:firstLine="0"/>
              <w:jc w:val="center"/>
            </w:pPr>
            <w:r>
              <w:rPr>
                <w:sz w:val="20"/>
              </w:rPr>
              <w:t xml:space="preserve">125,064 </w:t>
            </w:r>
          </w:p>
        </w:tc>
        <w:tc>
          <w:tcPr>
            <w:tcW w:w="1560" w:type="dxa"/>
            <w:tcBorders>
              <w:top w:val="single" w:sz="8" w:space="0" w:color="000000"/>
              <w:left w:val="single" w:sz="8" w:space="0" w:color="000000"/>
              <w:bottom w:val="single" w:sz="8" w:space="0" w:color="000000"/>
              <w:right w:val="single" w:sz="8" w:space="0" w:color="000000"/>
            </w:tcBorders>
          </w:tcPr>
          <w:p w14:paraId="08C4C328" w14:textId="77777777" w:rsidR="002C26E2" w:rsidRDefault="00812CB4">
            <w:pPr>
              <w:spacing w:after="0" w:line="259" w:lineRule="auto"/>
              <w:ind w:firstLine="0"/>
              <w:jc w:val="center"/>
            </w:pPr>
            <w:r>
              <w:rPr>
                <w:sz w:val="20"/>
              </w:rPr>
              <w:t xml:space="preserve">169,112 </w:t>
            </w:r>
          </w:p>
        </w:tc>
      </w:tr>
      <w:tr w:rsidR="002C26E2" w14:paraId="544EAB1D" w14:textId="77777777">
        <w:trPr>
          <w:trHeight w:val="523"/>
        </w:trPr>
        <w:tc>
          <w:tcPr>
            <w:tcW w:w="1636" w:type="dxa"/>
            <w:tcBorders>
              <w:top w:val="single" w:sz="8" w:space="0" w:color="000000"/>
              <w:left w:val="single" w:sz="8" w:space="0" w:color="000000"/>
              <w:bottom w:val="single" w:sz="8" w:space="0" w:color="000000"/>
              <w:right w:val="single" w:sz="8" w:space="0" w:color="000000"/>
            </w:tcBorders>
          </w:tcPr>
          <w:p w14:paraId="5D2A8734" w14:textId="77777777" w:rsidR="002C26E2" w:rsidRDefault="00812CB4">
            <w:pPr>
              <w:spacing w:after="0" w:line="259" w:lineRule="auto"/>
              <w:ind w:left="6" w:firstLine="0"/>
              <w:jc w:val="center"/>
            </w:pPr>
            <w:r>
              <w:rPr>
                <w:b/>
                <w:sz w:val="20"/>
              </w:rPr>
              <w:t xml:space="preserve">6 </w:t>
            </w:r>
          </w:p>
        </w:tc>
        <w:tc>
          <w:tcPr>
            <w:tcW w:w="1612" w:type="dxa"/>
            <w:tcBorders>
              <w:top w:val="single" w:sz="8" w:space="0" w:color="000000"/>
              <w:left w:val="single" w:sz="8" w:space="0" w:color="000000"/>
              <w:bottom w:val="single" w:sz="8" w:space="0" w:color="000000"/>
              <w:right w:val="single" w:sz="8" w:space="0" w:color="000000"/>
            </w:tcBorders>
          </w:tcPr>
          <w:p w14:paraId="4391C59C" w14:textId="77777777" w:rsidR="002C26E2" w:rsidRDefault="00812CB4">
            <w:pPr>
              <w:spacing w:after="0" w:line="259" w:lineRule="auto"/>
              <w:ind w:left="9" w:firstLine="0"/>
              <w:jc w:val="center"/>
            </w:pPr>
            <w:r>
              <w:rPr>
                <w:sz w:val="20"/>
              </w:rPr>
              <w:t xml:space="preserve">76,173 </w:t>
            </w:r>
          </w:p>
        </w:tc>
        <w:tc>
          <w:tcPr>
            <w:tcW w:w="1558" w:type="dxa"/>
            <w:tcBorders>
              <w:top w:val="single" w:sz="8" w:space="0" w:color="000000"/>
              <w:left w:val="single" w:sz="8" w:space="0" w:color="000000"/>
              <w:bottom w:val="single" w:sz="8" w:space="0" w:color="000000"/>
              <w:right w:val="single" w:sz="8" w:space="0" w:color="000000"/>
            </w:tcBorders>
          </w:tcPr>
          <w:p w14:paraId="4A56C4D8" w14:textId="77777777" w:rsidR="002C26E2" w:rsidRDefault="00812CB4">
            <w:pPr>
              <w:spacing w:after="0" w:line="259" w:lineRule="auto"/>
              <w:ind w:left="12" w:firstLine="0"/>
              <w:jc w:val="center"/>
            </w:pPr>
            <w:r>
              <w:rPr>
                <w:sz w:val="20"/>
              </w:rPr>
              <w:t xml:space="preserve">97,522 </w:t>
            </w:r>
          </w:p>
        </w:tc>
        <w:tc>
          <w:tcPr>
            <w:tcW w:w="1702" w:type="dxa"/>
            <w:tcBorders>
              <w:top w:val="single" w:sz="8" w:space="0" w:color="000000"/>
              <w:left w:val="single" w:sz="8" w:space="0" w:color="000000"/>
              <w:bottom w:val="single" w:sz="8" w:space="0" w:color="000000"/>
              <w:right w:val="single" w:sz="8" w:space="0" w:color="000000"/>
            </w:tcBorders>
          </w:tcPr>
          <w:p w14:paraId="7DCA5DC5" w14:textId="77777777" w:rsidR="002C26E2" w:rsidRDefault="00812CB4">
            <w:pPr>
              <w:spacing w:after="0" w:line="259" w:lineRule="auto"/>
              <w:ind w:left="11" w:firstLine="0"/>
              <w:jc w:val="center"/>
            </w:pPr>
            <w:r>
              <w:rPr>
                <w:sz w:val="20"/>
              </w:rPr>
              <w:t xml:space="preserve">127,819 </w:t>
            </w:r>
          </w:p>
        </w:tc>
        <w:tc>
          <w:tcPr>
            <w:tcW w:w="1560" w:type="dxa"/>
            <w:tcBorders>
              <w:top w:val="single" w:sz="8" w:space="0" w:color="000000"/>
              <w:left w:val="single" w:sz="8" w:space="0" w:color="000000"/>
              <w:bottom w:val="single" w:sz="8" w:space="0" w:color="000000"/>
              <w:right w:val="single" w:sz="8" w:space="0" w:color="000000"/>
            </w:tcBorders>
          </w:tcPr>
          <w:p w14:paraId="577C3D76" w14:textId="77777777" w:rsidR="002C26E2" w:rsidRDefault="00812CB4">
            <w:pPr>
              <w:spacing w:after="0" w:line="259" w:lineRule="auto"/>
              <w:ind w:firstLine="0"/>
              <w:jc w:val="center"/>
            </w:pPr>
            <w:r>
              <w:rPr>
                <w:sz w:val="20"/>
              </w:rPr>
              <w:t xml:space="preserve">172,907 </w:t>
            </w:r>
          </w:p>
        </w:tc>
      </w:tr>
      <w:tr w:rsidR="002C26E2" w14:paraId="17CC6555" w14:textId="77777777">
        <w:trPr>
          <w:trHeight w:val="526"/>
        </w:trPr>
        <w:tc>
          <w:tcPr>
            <w:tcW w:w="1636" w:type="dxa"/>
            <w:tcBorders>
              <w:top w:val="single" w:sz="8" w:space="0" w:color="000000"/>
              <w:left w:val="single" w:sz="8" w:space="0" w:color="000000"/>
              <w:bottom w:val="single" w:sz="8" w:space="0" w:color="000000"/>
              <w:right w:val="single" w:sz="8" w:space="0" w:color="000000"/>
            </w:tcBorders>
          </w:tcPr>
          <w:p w14:paraId="690749CE" w14:textId="77777777" w:rsidR="002C26E2" w:rsidRDefault="00812CB4">
            <w:pPr>
              <w:spacing w:after="0" w:line="259" w:lineRule="auto"/>
              <w:ind w:left="6" w:firstLine="0"/>
              <w:jc w:val="center"/>
            </w:pPr>
            <w:r>
              <w:rPr>
                <w:b/>
                <w:sz w:val="20"/>
              </w:rPr>
              <w:t xml:space="preserve">7 </w:t>
            </w:r>
          </w:p>
        </w:tc>
        <w:tc>
          <w:tcPr>
            <w:tcW w:w="1612" w:type="dxa"/>
            <w:tcBorders>
              <w:top w:val="single" w:sz="8" w:space="0" w:color="000000"/>
              <w:left w:val="single" w:sz="8" w:space="0" w:color="000000"/>
              <w:bottom w:val="single" w:sz="8" w:space="0" w:color="000000"/>
              <w:right w:val="single" w:sz="8" w:space="0" w:color="000000"/>
            </w:tcBorders>
          </w:tcPr>
          <w:p w14:paraId="57A74E9C" w14:textId="77777777" w:rsidR="002C26E2" w:rsidRDefault="00812CB4">
            <w:pPr>
              <w:spacing w:after="0" w:line="259" w:lineRule="auto"/>
              <w:ind w:left="9" w:firstLine="0"/>
              <w:jc w:val="center"/>
            </w:pPr>
            <w:r>
              <w:rPr>
                <w:sz w:val="20"/>
              </w:rPr>
              <w:t xml:space="preserve">77,615 </w:t>
            </w:r>
          </w:p>
        </w:tc>
        <w:tc>
          <w:tcPr>
            <w:tcW w:w="1558" w:type="dxa"/>
            <w:tcBorders>
              <w:top w:val="single" w:sz="8" w:space="0" w:color="000000"/>
              <w:left w:val="single" w:sz="8" w:space="0" w:color="000000"/>
              <w:bottom w:val="single" w:sz="8" w:space="0" w:color="000000"/>
              <w:right w:val="single" w:sz="8" w:space="0" w:color="000000"/>
            </w:tcBorders>
          </w:tcPr>
          <w:p w14:paraId="487F8A4B" w14:textId="77777777" w:rsidR="002C26E2" w:rsidRDefault="00812CB4">
            <w:pPr>
              <w:spacing w:after="0" w:line="259" w:lineRule="auto"/>
              <w:ind w:left="12" w:firstLine="0"/>
              <w:jc w:val="center"/>
            </w:pPr>
            <w:r>
              <w:rPr>
                <w:sz w:val="20"/>
              </w:rPr>
              <w:t xml:space="preserve">99,307 </w:t>
            </w:r>
          </w:p>
        </w:tc>
        <w:tc>
          <w:tcPr>
            <w:tcW w:w="1702" w:type="dxa"/>
            <w:tcBorders>
              <w:top w:val="single" w:sz="8" w:space="0" w:color="000000"/>
              <w:left w:val="single" w:sz="8" w:space="0" w:color="000000"/>
              <w:bottom w:val="single" w:sz="8" w:space="0" w:color="000000"/>
              <w:right w:val="single" w:sz="8" w:space="0" w:color="000000"/>
            </w:tcBorders>
          </w:tcPr>
          <w:p w14:paraId="5FE92DFE" w14:textId="77777777" w:rsidR="002C26E2" w:rsidRDefault="00812CB4">
            <w:pPr>
              <w:spacing w:after="0" w:line="259" w:lineRule="auto"/>
              <w:ind w:left="11" w:firstLine="0"/>
              <w:jc w:val="center"/>
            </w:pPr>
            <w:r>
              <w:rPr>
                <w:sz w:val="20"/>
              </w:rPr>
              <w:t xml:space="preserve">130,573 </w:t>
            </w:r>
          </w:p>
        </w:tc>
        <w:tc>
          <w:tcPr>
            <w:tcW w:w="1560" w:type="dxa"/>
            <w:tcBorders>
              <w:top w:val="single" w:sz="8" w:space="0" w:color="000000"/>
              <w:left w:val="single" w:sz="8" w:space="0" w:color="000000"/>
              <w:bottom w:val="single" w:sz="8" w:space="0" w:color="000000"/>
              <w:right w:val="single" w:sz="8" w:space="0" w:color="000000"/>
            </w:tcBorders>
          </w:tcPr>
          <w:p w14:paraId="0F9665CF" w14:textId="77777777" w:rsidR="002C26E2" w:rsidRDefault="00812CB4">
            <w:pPr>
              <w:spacing w:after="0" w:line="259" w:lineRule="auto"/>
              <w:ind w:firstLine="0"/>
              <w:jc w:val="center"/>
            </w:pPr>
            <w:r>
              <w:rPr>
                <w:sz w:val="20"/>
              </w:rPr>
              <w:t xml:space="preserve">176,702 </w:t>
            </w:r>
          </w:p>
        </w:tc>
      </w:tr>
      <w:tr w:rsidR="002C26E2" w14:paraId="74D6410D" w14:textId="77777777">
        <w:trPr>
          <w:trHeight w:val="526"/>
        </w:trPr>
        <w:tc>
          <w:tcPr>
            <w:tcW w:w="1636" w:type="dxa"/>
            <w:tcBorders>
              <w:top w:val="single" w:sz="8" w:space="0" w:color="000000"/>
              <w:left w:val="single" w:sz="8" w:space="0" w:color="000000"/>
              <w:bottom w:val="single" w:sz="8" w:space="0" w:color="000000"/>
              <w:right w:val="single" w:sz="8" w:space="0" w:color="000000"/>
            </w:tcBorders>
          </w:tcPr>
          <w:p w14:paraId="17582B06" w14:textId="77777777" w:rsidR="002C26E2" w:rsidRDefault="00812CB4">
            <w:pPr>
              <w:spacing w:after="0" w:line="259" w:lineRule="auto"/>
              <w:ind w:left="3" w:firstLine="0"/>
              <w:jc w:val="center"/>
            </w:pPr>
            <w:r>
              <w:rPr>
                <w:b/>
                <w:sz w:val="20"/>
              </w:rPr>
              <w:t xml:space="preserve">Maximum  </w:t>
            </w:r>
          </w:p>
        </w:tc>
        <w:tc>
          <w:tcPr>
            <w:tcW w:w="1612" w:type="dxa"/>
            <w:tcBorders>
              <w:top w:val="single" w:sz="8" w:space="0" w:color="000000"/>
              <w:left w:val="single" w:sz="8" w:space="0" w:color="000000"/>
              <w:bottom w:val="single" w:sz="8" w:space="0" w:color="000000"/>
              <w:right w:val="single" w:sz="8" w:space="0" w:color="000000"/>
            </w:tcBorders>
          </w:tcPr>
          <w:p w14:paraId="2C77410D" w14:textId="77777777" w:rsidR="002C26E2" w:rsidRDefault="00812CB4">
            <w:pPr>
              <w:spacing w:after="0" w:line="259" w:lineRule="auto"/>
              <w:ind w:left="9" w:firstLine="0"/>
              <w:jc w:val="center"/>
            </w:pPr>
            <w:r>
              <w:rPr>
                <w:sz w:val="20"/>
              </w:rPr>
              <w:t xml:space="preserve">79,058 </w:t>
            </w:r>
          </w:p>
        </w:tc>
        <w:tc>
          <w:tcPr>
            <w:tcW w:w="1558" w:type="dxa"/>
            <w:tcBorders>
              <w:top w:val="single" w:sz="8" w:space="0" w:color="000000"/>
              <w:left w:val="single" w:sz="8" w:space="0" w:color="000000"/>
              <w:bottom w:val="single" w:sz="8" w:space="0" w:color="000000"/>
              <w:right w:val="single" w:sz="8" w:space="0" w:color="000000"/>
            </w:tcBorders>
          </w:tcPr>
          <w:p w14:paraId="76074837" w14:textId="77777777" w:rsidR="002C26E2" w:rsidRDefault="00812CB4">
            <w:pPr>
              <w:spacing w:after="0" w:line="259" w:lineRule="auto"/>
              <w:ind w:left="12" w:firstLine="0"/>
              <w:jc w:val="center"/>
            </w:pPr>
            <w:r>
              <w:rPr>
                <w:sz w:val="20"/>
              </w:rPr>
              <w:t xml:space="preserve">101,092 </w:t>
            </w:r>
          </w:p>
        </w:tc>
        <w:tc>
          <w:tcPr>
            <w:tcW w:w="1702" w:type="dxa"/>
            <w:tcBorders>
              <w:top w:val="single" w:sz="8" w:space="0" w:color="000000"/>
              <w:left w:val="single" w:sz="8" w:space="0" w:color="000000"/>
              <w:bottom w:val="single" w:sz="8" w:space="0" w:color="000000"/>
              <w:right w:val="single" w:sz="8" w:space="0" w:color="000000"/>
            </w:tcBorders>
          </w:tcPr>
          <w:p w14:paraId="106A648A" w14:textId="77777777" w:rsidR="002C26E2" w:rsidRDefault="00812CB4">
            <w:pPr>
              <w:spacing w:after="0" w:line="259" w:lineRule="auto"/>
              <w:ind w:left="11" w:firstLine="0"/>
              <w:jc w:val="center"/>
            </w:pPr>
            <w:r>
              <w:rPr>
                <w:sz w:val="20"/>
              </w:rPr>
              <w:t xml:space="preserve">133,327 </w:t>
            </w:r>
          </w:p>
        </w:tc>
        <w:tc>
          <w:tcPr>
            <w:tcW w:w="1560" w:type="dxa"/>
            <w:tcBorders>
              <w:top w:val="single" w:sz="8" w:space="0" w:color="000000"/>
              <w:left w:val="single" w:sz="8" w:space="0" w:color="000000"/>
              <w:bottom w:val="single" w:sz="8" w:space="0" w:color="000000"/>
              <w:right w:val="single" w:sz="8" w:space="0" w:color="000000"/>
            </w:tcBorders>
          </w:tcPr>
          <w:p w14:paraId="5C9FADAA" w14:textId="77777777" w:rsidR="002C26E2" w:rsidRDefault="00812CB4">
            <w:pPr>
              <w:spacing w:after="0" w:line="259" w:lineRule="auto"/>
              <w:ind w:firstLine="0"/>
              <w:jc w:val="center"/>
            </w:pPr>
            <w:r>
              <w:rPr>
                <w:sz w:val="20"/>
              </w:rPr>
              <w:t xml:space="preserve">180,496 </w:t>
            </w:r>
          </w:p>
        </w:tc>
      </w:tr>
    </w:tbl>
    <w:p w14:paraId="5A8A77F2" w14:textId="378E4D6D" w:rsidR="002C26E2" w:rsidRDefault="002C26E2" w:rsidP="00554D9A">
      <w:pPr>
        <w:spacing w:after="120" w:line="259" w:lineRule="auto"/>
        <w:ind w:left="12" w:firstLine="0"/>
      </w:pPr>
    </w:p>
    <w:p w14:paraId="0D28723B" w14:textId="77777777" w:rsidR="002C26E2" w:rsidRDefault="00812CB4" w:rsidP="00554D9A">
      <w:pPr>
        <w:spacing w:after="120" w:line="259" w:lineRule="auto"/>
        <w:ind w:left="7" w:right="225"/>
      </w:pPr>
      <w:r>
        <w:t>When we consider the same pay scales, this time on 1</w:t>
      </w:r>
      <w:r>
        <w:rPr>
          <w:vertAlign w:val="superscript"/>
        </w:rPr>
        <w:t>st</w:t>
      </w:r>
      <w:r>
        <w:t xml:space="preserve"> August 2025, they have increased to the following levels. We also note that there are now six levels instead of the previous eight. As such, we have only compared the top six scales (including the maximum) of salaries below. These pay scales cover the salaries for the period 1</w:t>
      </w:r>
      <w:r>
        <w:rPr>
          <w:vertAlign w:val="superscript"/>
        </w:rPr>
        <w:t>st</w:t>
      </w:r>
      <w:r>
        <w:t xml:space="preserve"> August 2024 to 31</w:t>
      </w:r>
      <w:r>
        <w:rPr>
          <w:vertAlign w:val="superscript"/>
        </w:rPr>
        <w:t>st</w:t>
      </w:r>
      <w:r>
        <w:t xml:space="preserve"> March 2026. </w:t>
      </w:r>
    </w:p>
    <w:tbl>
      <w:tblPr>
        <w:tblStyle w:val="TableGrid"/>
        <w:tblW w:w="7945" w:type="dxa"/>
        <w:tblInd w:w="24" w:type="dxa"/>
        <w:tblCellMar>
          <w:top w:w="51" w:type="dxa"/>
          <w:left w:w="106" w:type="dxa"/>
          <w:bottom w:w="0" w:type="dxa"/>
          <w:right w:w="93" w:type="dxa"/>
        </w:tblCellMar>
        <w:tblLook w:val="04A0" w:firstRow="1" w:lastRow="0" w:firstColumn="1" w:lastColumn="0" w:noHBand="0" w:noVBand="1"/>
      </w:tblPr>
      <w:tblGrid>
        <w:gridCol w:w="1687"/>
        <w:gridCol w:w="1561"/>
        <w:gridCol w:w="1482"/>
        <w:gridCol w:w="1701"/>
        <w:gridCol w:w="1514"/>
      </w:tblGrid>
      <w:tr w:rsidR="002C26E2" w14:paraId="1CB4B7C3" w14:textId="77777777">
        <w:trPr>
          <w:trHeight w:val="523"/>
        </w:trPr>
        <w:tc>
          <w:tcPr>
            <w:tcW w:w="1687" w:type="dxa"/>
            <w:tcBorders>
              <w:top w:val="single" w:sz="8" w:space="0" w:color="000000"/>
              <w:left w:val="single" w:sz="8" w:space="0" w:color="000000"/>
              <w:bottom w:val="single" w:sz="8" w:space="0" w:color="000000"/>
              <w:right w:val="nil"/>
            </w:tcBorders>
            <w:shd w:val="clear" w:color="auto" w:fill="424996"/>
          </w:tcPr>
          <w:p w14:paraId="63B309D0" w14:textId="77777777" w:rsidR="002C26E2" w:rsidRDefault="002C26E2">
            <w:pPr>
              <w:spacing w:after="160" w:line="259" w:lineRule="auto"/>
              <w:ind w:left="0" w:firstLine="0"/>
            </w:pPr>
          </w:p>
        </w:tc>
        <w:tc>
          <w:tcPr>
            <w:tcW w:w="1561" w:type="dxa"/>
            <w:tcBorders>
              <w:top w:val="single" w:sz="8" w:space="0" w:color="000000"/>
              <w:left w:val="nil"/>
              <w:bottom w:val="single" w:sz="8" w:space="0" w:color="000000"/>
              <w:right w:val="nil"/>
            </w:tcBorders>
            <w:shd w:val="clear" w:color="auto" w:fill="424996"/>
          </w:tcPr>
          <w:p w14:paraId="668C5C3C" w14:textId="77777777" w:rsidR="002C26E2" w:rsidRDefault="002C26E2">
            <w:pPr>
              <w:spacing w:after="160" w:line="259" w:lineRule="auto"/>
              <w:ind w:left="0" w:firstLine="0"/>
            </w:pPr>
          </w:p>
        </w:tc>
        <w:tc>
          <w:tcPr>
            <w:tcW w:w="1482" w:type="dxa"/>
            <w:tcBorders>
              <w:top w:val="single" w:sz="8" w:space="0" w:color="000000"/>
              <w:left w:val="nil"/>
              <w:bottom w:val="single" w:sz="8" w:space="0" w:color="000000"/>
              <w:right w:val="nil"/>
            </w:tcBorders>
            <w:shd w:val="clear" w:color="auto" w:fill="424996"/>
          </w:tcPr>
          <w:p w14:paraId="31BB4450" w14:textId="77777777" w:rsidR="002C26E2" w:rsidRDefault="00812CB4">
            <w:pPr>
              <w:spacing w:after="0" w:line="259" w:lineRule="auto"/>
              <w:ind w:left="0" w:right="49" w:firstLine="0"/>
              <w:jc w:val="center"/>
            </w:pPr>
            <w:r>
              <w:rPr>
                <w:b/>
                <w:color w:val="FFFFFF"/>
                <w:sz w:val="20"/>
              </w:rPr>
              <w:t xml:space="preserve">01-Aug-25 </w:t>
            </w:r>
          </w:p>
        </w:tc>
        <w:tc>
          <w:tcPr>
            <w:tcW w:w="1701" w:type="dxa"/>
            <w:tcBorders>
              <w:top w:val="single" w:sz="8" w:space="0" w:color="000000"/>
              <w:left w:val="nil"/>
              <w:bottom w:val="single" w:sz="8" w:space="0" w:color="000000"/>
              <w:right w:val="nil"/>
            </w:tcBorders>
            <w:shd w:val="clear" w:color="auto" w:fill="424996"/>
          </w:tcPr>
          <w:p w14:paraId="783874B8" w14:textId="77777777" w:rsidR="002C26E2" w:rsidRDefault="002C26E2">
            <w:pPr>
              <w:spacing w:after="160" w:line="259" w:lineRule="auto"/>
              <w:ind w:left="0" w:firstLine="0"/>
            </w:pPr>
          </w:p>
        </w:tc>
        <w:tc>
          <w:tcPr>
            <w:tcW w:w="1514" w:type="dxa"/>
            <w:tcBorders>
              <w:top w:val="single" w:sz="8" w:space="0" w:color="000000"/>
              <w:left w:val="nil"/>
              <w:bottom w:val="single" w:sz="8" w:space="0" w:color="000000"/>
              <w:right w:val="single" w:sz="8" w:space="0" w:color="000000"/>
            </w:tcBorders>
            <w:shd w:val="clear" w:color="auto" w:fill="424996"/>
          </w:tcPr>
          <w:p w14:paraId="28E2B7DF" w14:textId="77777777" w:rsidR="002C26E2" w:rsidRDefault="002C26E2">
            <w:pPr>
              <w:spacing w:after="160" w:line="259" w:lineRule="auto"/>
              <w:ind w:left="0" w:firstLine="0"/>
            </w:pPr>
          </w:p>
        </w:tc>
      </w:tr>
      <w:tr w:rsidR="002C26E2" w14:paraId="4CDBD3DA" w14:textId="77777777">
        <w:trPr>
          <w:trHeight w:val="662"/>
        </w:trPr>
        <w:tc>
          <w:tcPr>
            <w:tcW w:w="1687" w:type="dxa"/>
            <w:tcBorders>
              <w:top w:val="single" w:sz="8" w:space="0" w:color="000000"/>
              <w:left w:val="single" w:sz="8" w:space="0" w:color="000000"/>
              <w:bottom w:val="single" w:sz="8" w:space="0" w:color="000000"/>
              <w:right w:val="single" w:sz="8" w:space="0" w:color="000000"/>
            </w:tcBorders>
            <w:shd w:val="clear" w:color="auto" w:fill="424996"/>
          </w:tcPr>
          <w:p w14:paraId="5BFA6DD5" w14:textId="77777777" w:rsidR="002C26E2" w:rsidRDefault="00812CB4">
            <w:pPr>
              <w:spacing w:after="0" w:line="259" w:lineRule="auto"/>
              <w:ind w:left="0" w:firstLine="0"/>
            </w:pPr>
            <w:r>
              <w:rPr>
                <w:b/>
                <w:color w:val="FFFFFF"/>
                <w:sz w:val="20"/>
              </w:rPr>
              <w:t xml:space="preserve">   </w:t>
            </w:r>
          </w:p>
        </w:tc>
        <w:tc>
          <w:tcPr>
            <w:tcW w:w="1561" w:type="dxa"/>
            <w:tcBorders>
              <w:top w:val="single" w:sz="8" w:space="0" w:color="000000"/>
              <w:left w:val="single" w:sz="8" w:space="0" w:color="000000"/>
              <w:bottom w:val="single" w:sz="8" w:space="0" w:color="000000"/>
              <w:right w:val="single" w:sz="8" w:space="0" w:color="000000"/>
            </w:tcBorders>
            <w:shd w:val="clear" w:color="auto" w:fill="424996"/>
          </w:tcPr>
          <w:p w14:paraId="315474D9" w14:textId="77777777" w:rsidR="002C26E2" w:rsidRDefault="00812CB4">
            <w:pPr>
              <w:spacing w:after="0" w:line="259" w:lineRule="auto"/>
              <w:ind w:left="5" w:firstLine="0"/>
            </w:pPr>
            <w:r>
              <w:rPr>
                <w:b/>
                <w:color w:val="FFFFFF"/>
                <w:sz w:val="20"/>
              </w:rPr>
              <w:t xml:space="preserve">Pay Scale 1  </w:t>
            </w:r>
          </w:p>
        </w:tc>
        <w:tc>
          <w:tcPr>
            <w:tcW w:w="1482" w:type="dxa"/>
            <w:tcBorders>
              <w:top w:val="single" w:sz="8" w:space="0" w:color="000000"/>
              <w:left w:val="single" w:sz="8" w:space="0" w:color="000000"/>
              <w:bottom w:val="single" w:sz="8" w:space="0" w:color="000000"/>
              <w:right w:val="single" w:sz="8" w:space="0" w:color="000000"/>
            </w:tcBorders>
            <w:shd w:val="clear" w:color="auto" w:fill="424996"/>
          </w:tcPr>
          <w:p w14:paraId="101374F6" w14:textId="77777777" w:rsidR="002C26E2" w:rsidRDefault="00812CB4">
            <w:pPr>
              <w:spacing w:after="0" w:line="259" w:lineRule="auto"/>
              <w:ind w:left="5" w:firstLine="0"/>
            </w:pPr>
            <w:r>
              <w:rPr>
                <w:b/>
                <w:color w:val="FFFFFF"/>
                <w:sz w:val="20"/>
              </w:rPr>
              <w:t xml:space="preserve">Pay Scale 2  </w:t>
            </w:r>
          </w:p>
        </w:tc>
        <w:tc>
          <w:tcPr>
            <w:tcW w:w="1701" w:type="dxa"/>
            <w:tcBorders>
              <w:top w:val="single" w:sz="8" w:space="0" w:color="000000"/>
              <w:left w:val="single" w:sz="8" w:space="0" w:color="000000"/>
              <w:bottom w:val="single" w:sz="8" w:space="0" w:color="000000"/>
              <w:right w:val="single" w:sz="8" w:space="0" w:color="000000"/>
            </w:tcBorders>
            <w:shd w:val="clear" w:color="auto" w:fill="424996"/>
          </w:tcPr>
          <w:p w14:paraId="557AC9D2" w14:textId="77777777" w:rsidR="002C26E2" w:rsidRDefault="00812CB4">
            <w:pPr>
              <w:spacing w:after="0" w:line="259" w:lineRule="auto"/>
              <w:ind w:left="6" w:firstLine="0"/>
            </w:pPr>
            <w:r>
              <w:rPr>
                <w:b/>
                <w:color w:val="FFFFFF"/>
                <w:sz w:val="20"/>
              </w:rPr>
              <w:t xml:space="preserve">Pay Scale 3  </w:t>
            </w:r>
          </w:p>
        </w:tc>
        <w:tc>
          <w:tcPr>
            <w:tcW w:w="1514" w:type="dxa"/>
            <w:tcBorders>
              <w:top w:val="single" w:sz="8" w:space="0" w:color="000000"/>
              <w:left w:val="single" w:sz="8" w:space="0" w:color="000000"/>
              <w:bottom w:val="single" w:sz="8" w:space="0" w:color="000000"/>
              <w:right w:val="single" w:sz="8" w:space="0" w:color="000000"/>
            </w:tcBorders>
            <w:shd w:val="clear" w:color="auto" w:fill="424996"/>
          </w:tcPr>
          <w:p w14:paraId="629D6FED" w14:textId="77777777" w:rsidR="002C26E2" w:rsidRDefault="00812CB4">
            <w:pPr>
              <w:spacing w:after="0" w:line="259" w:lineRule="auto"/>
              <w:ind w:left="0" w:right="10" w:firstLine="0"/>
              <w:jc w:val="center"/>
            </w:pPr>
            <w:r>
              <w:rPr>
                <w:b/>
                <w:color w:val="FFFFFF"/>
                <w:sz w:val="20"/>
              </w:rPr>
              <w:t xml:space="preserve">Pay Scale 4  </w:t>
            </w:r>
          </w:p>
        </w:tc>
      </w:tr>
      <w:tr w:rsidR="002C26E2" w14:paraId="658017A8" w14:textId="77777777">
        <w:trPr>
          <w:trHeight w:val="528"/>
        </w:trPr>
        <w:tc>
          <w:tcPr>
            <w:tcW w:w="1687" w:type="dxa"/>
            <w:tcBorders>
              <w:top w:val="single" w:sz="8" w:space="0" w:color="000000"/>
              <w:left w:val="single" w:sz="8" w:space="0" w:color="000000"/>
              <w:bottom w:val="single" w:sz="8" w:space="0" w:color="000000"/>
              <w:right w:val="single" w:sz="8" w:space="0" w:color="000000"/>
            </w:tcBorders>
          </w:tcPr>
          <w:p w14:paraId="285B3C98" w14:textId="77777777" w:rsidR="002C26E2" w:rsidRDefault="00812CB4">
            <w:pPr>
              <w:spacing w:after="0" w:line="259" w:lineRule="auto"/>
              <w:ind w:left="0" w:right="14" w:firstLine="0"/>
              <w:jc w:val="center"/>
            </w:pPr>
            <w:r>
              <w:rPr>
                <w:b/>
                <w:sz w:val="20"/>
              </w:rPr>
              <w:t xml:space="preserve">1 </w:t>
            </w:r>
          </w:p>
        </w:tc>
        <w:tc>
          <w:tcPr>
            <w:tcW w:w="1561" w:type="dxa"/>
            <w:tcBorders>
              <w:top w:val="single" w:sz="8" w:space="0" w:color="000000"/>
              <w:left w:val="single" w:sz="8" w:space="0" w:color="000000"/>
              <w:bottom w:val="single" w:sz="8" w:space="0" w:color="000000"/>
              <w:right w:val="single" w:sz="8" w:space="0" w:color="000000"/>
            </w:tcBorders>
          </w:tcPr>
          <w:p w14:paraId="4F306A5C" w14:textId="77777777" w:rsidR="002C26E2" w:rsidRDefault="00812CB4">
            <w:pPr>
              <w:spacing w:after="0" w:line="259" w:lineRule="auto"/>
              <w:ind w:left="0" w:right="11" w:firstLine="0"/>
              <w:jc w:val="center"/>
            </w:pPr>
            <w:r>
              <w:rPr>
                <w:sz w:val="20"/>
              </w:rPr>
              <w:t xml:space="preserve">88,268 </w:t>
            </w:r>
          </w:p>
        </w:tc>
        <w:tc>
          <w:tcPr>
            <w:tcW w:w="1482" w:type="dxa"/>
            <w:tcBorders>
              <w:top w:val="single" w:sz="8" w:space="0" w:color="000000"/>
              <w:left w:val="single" w:sz="8" w:space="0" w:color="000000"/>
              <w:bottom w:val="single" w:sz="8" w:space="0" w:color="000000"/>
              <w:right w:val="single" w:sz="8" w:space="0" w:color="000000"/>
            </w:tcBorders>
          </w:tcPr>
          <w:p w14:paraId="0F6D2EC8" w14:textId="77777777" w:rsidR="002C26E2" w:rsidRDefault="00812CB4">
            <w:pPr>
              <w:spacing w:after="0" w:line="259" w:lineRule="auto"/>
              <w:ind w:left="0" w:right="11" w:firstLine="0"/>
              <w:jc w:val="center"/>
            </w:pPr>
            <w:r>
              <w:rPr>
                <w:sz w:val="20"/>
              </w:rPr>
              <w:t xml:space="preserve">113,060 </w:t>
            </w:r>
          </w:p>
        </w:tc>
        <w:tc>
          <w:tcPr>
            <w:tcW w:w="1701" w:type="dxa"/>
            <w:tcBorders>
              <w:top w:val="single" w:sz="8" w:space="0" w:color="000000"/>
              <w:left w:val="single" w:sz="8" w:space="0" w:color="000000"/>
              <w:bottom w:val="single" w:sz="8" w:space="0" w:color="000000"/>
              <w:right w:val="single" w:sz="8" w:space="0" w:color="000000"/>
            </w:tcBorders>
          </w:tcPr>
          <w:p w14:paraId="6AA85C96" w14:textId="77777777" w:rsidR="002C26E2" w:rsidRDefault="00812CB4">
            <w:pPr>
              <w:spacing w:after="0" w:line="259" w:lineRule="auto"/>
              <w:ind w:left="0" w:right="7" w:firstLine="0"/>
              <w:jc w:val="center"/>
            </w:pPr>
            <w:r>
              <w:rPr>
                <w:sz w:val="20"/>
              </w:rPr>
              <w:t xml:space="preserve">146,469 </w:t>
            </w:r>
          </w:p>
        </w:tc>
        <w:tc>
          <w:tcPr>
            <w:tcW w:w="1514" w:type="dxa"/>
            <w:tcBorders>
              <w:top w:val="single" w:sz="8" w:space="0" w:color="000000"/>
              <w:left w:val="single" w:sz="8" w:space="0" w:color="000000"/>
              <w:bottom w:val="single" w:sz="8" w:space="0" w:color="000000"/>
              <w:right w:val="single" w:sz="8" w:space="0" w:color="000000"/>
            </w:tcBorders>
          </w:tcPr>
          <w:p w14:paraId="57F4CD98" w14:textId="77777777" w:rsidR="002C26E2" w:rsidRDefault="00812CB4">
            <w:pPr>
              <w:spacing w:after="0" w:line="259" w:lineRule="auto"/>
              <w:ind w:left="0" w:right="15" w:firstLine="0"/>
              <w:jc w:val="center"/>
            </w:pPr>
            <w:r>
              <w:rPr>
                <w:sz w:val="20"/>
              </w:rPr>
              <w:t xml:space="preserve">197,659 </w:t>
            </w:r>
          </w:p>
        </w:tc>
      </w:tr>
      <w:tr w:rsidR="002C26E2" w14:paraId="49010EF8" w14:textId="77777777">
        <w:trPr>
          <w:trHeight w:val="526"/>
        </w:trPr>
        <w:tc>
          <w:tcPr>
            <w:tcW w:w="1687" w:type="dxa"/>
            <w:tcBorders>
              <w:top w:val="single" w:sz="8" w:space="0" w:color="000000"/>
              <w:left w:val="single" w:sz="8" w:space="0" w:color="000000"/>
              <w:bottom w:val="single" w:sz="8" w:space="0" w:color="000000"/>
              <w:right w:val="single" w:sz="8" w:space="0" w:color="000000"/>
            </w:tcBorders>
          </w:tcPr>
          <w:p w14:paraId="7E188742" w14:textId="77777777" w:rsidR="002C26E2" w:rsidRDefault="00812CB4">
            <w:pPr>
              <w:spacing w:after="0" w:line="259" w:lineRule="auto"/>
              <w:ind w:left="0" w:right="14" w:firstLine="0"/>
              <w:jc w:val="center"/>
            </w:pPr>
            <w:r>
              <w:rPr>
                <w:b/>
                <w:sz w:val="20"/>
              </w:rPr>
              <w:t xml:space="preserve">2 </w:t>
            </w:r>
          </w:p>
        </w:tc>
        <w:tc>
          <w:tcPr>
            <w:tcW w:w="1561" w:type="dxa"/>
            <w:tcBorders>
              <w:top w:val="single" w:sz="8" w:space="0" w:color="000000"/>
              <w:left w:val="single" w:sz="8" w:space="0" w:color="000000"/>
              <w:bottom w:val="single" w:sz="8" w:space="0" w:color="000000"/>
              <w:right w:val="single" w:sz="8" w:space="0" w:color="000000"/>
            </w:tcBorders>
          </w:tcPr>
          <w:p w14:paraId="0E09D927" w14:textId="77777777" w:rsidR="002C26E2" w:rsidRDefault="00812CB4">
            <w:pPr>
              <w:spacing w:after="0" w:line="259" w:lineRule="auto"/>
              <w:ind w:left="0" w:right="11" w:firstLine="0"/>
              <w:jc w:val="center"/>
            </w:pPr>
            <w:r>
              <w:rPr>
                <w:sz w:val="20"/>
              </w:rPr>
              <w:t xml:space="preserve">90,030 </w:t>
            </w:r>
          </w:p>
        </w:tc>
        <w:tc>
          <w:tcPr>
            <w:tcW w:w="1482" w:type="dxa"/>
            <w:tcBorders>
              <w:top w:val="single" w:sz="8" w:space="0" w:color="000000"/>
              <w:left w:val="single" w:sz="8" w:space="0" w:color="000000"/>
              <w:bottom w:val="single" w:sz="8" w:space="0" w:color="000000"/>
              <w:right w:val="single" w:sz="8" w:space="0" w:color="000000"/>
            </w:tcBorders>
          </w:tcPr>
          <w:p w14:paraId="2ADC6F7B" w14:textId="77777777" w:rsidR="002C26E2" w:rsidRDefault="00812CB4">
            <w:pPr>
              <w:spacing w:after="0" w:line="259" w:lineRule="auto"/>
              <w:ind w:left="0" w:right="11" w:firstLine="0"/>
              <w:jc w:val="center"/>
            </w:pPr>
            <w:r>
              <w:rPr>
                <w:sz w:val="20"/>
              </w:rPr>
              <w:t xml:space="preserve">115,236 </w:t>
            </w:r>
          </w:p>
        </w:tc>
        <w:tc>
          <w:tcPr>
            <w:tcW w:w="1701" w:type="dxa"/>
            <w:tcBorders>
              <w:top w:val="single" w:sz="8" w:space="0" w:color="000000"/>
              <w:left w:val="single" w:sz="8" w:space="0" w:color="000000"/>
              <w:bottom w:val="single" w:sz="8" w:space="0" w:color="000000"/>
              <w:right w:val="single" w:sz="8" w:space="0" w:color="000000"/>
            </w:tcBorders>
          </w:tcPr>
          <w:p w14:paraId="65AD9201" w14:textId="77777777" w:rsidR="002C26E2" w:rsidRDefault="00812CB4">
            <w:pPr>
              <w:spacing w:after="0" w:line="259" w:lineRule="auto"/>
              <w:ind w:left="0" w:right="7" w:firstLine="0"/>
              <w:jc w:val="center"/>
            </w:pPr>
            <w:r>
              <w:rPr>
                <w:sz w:val="20"/>
              </w:rPr>
              <w:t xml:space="preserve">149,829 </w:t>
            </w:r>
          </w:p>
        </w:tc>
        <w:tc>
          <w:tcPr>
            <w:tcW w:w="1514" w:type="dxa"/>
            <w:tcBorders>
              <w:top w:val="single" w:sz="8" w:space="0" w:color="000000"/>
              <w:left w:val="single" w:sz="8" w:space="0" w:color="000000"/>
              <w:bottom w:val="single" w:sz="8" w:space="0" w:color="000000"/>
              <w:right w:val="single" w:sz="8" w:space="0" w:color="000000"/>
            </w:tcBorders>
          </w:tcPr>
          <w:p w14:paraId="4EC725C6" w14:textId="77777777" w:rsidR="002C26E2" w:rsidRDefault="00812CB4">
            <w:pPr>
              <w:spacing w:after="0" w:line="259" w:lineRule="auto"/>
              <w:ind w:left="0" w:right="15" w:firstLine="0"/>
              <w:jc w:val="center"/>
            </w:pPr>
            <w:r>
              <w:rPr>
                <w:sz w:val="20"/>
              </w:rPr>
              <w:t xml:space="preserve">202,288 </w:t>
            </w:r>
          </w:p>
        </w:tc>
      </w:tr>
      <w:tr w:rsidR="002C26E2" w14:paraId="7F390D43" w14:textId="77777777">
        <w:trPr>
          <w:trHeight w:val="523"/>
        </w:trPr>
        <w:tc>
          <w:tcPr>
            <w:tcW w:w="1687" w:type="dxa"/>
            <w:tcBorders>
              <w:top w:val="single" w:sz="8" w:space="0" w:color="000000"/>
              <w:left w:val="single" w:sz="8" w:space="0" w:color="000000"/>
              <w:bottom w:val="single" w:sz="8" w:space="0" w:color="000000"/>
              <w:right w:val="single" w:sz="8" w:space="0" w:color="000000"/>
            </w:tcBorders>
          </w:tcPr>
          <w:p w14:paraId="48A82B77" w14:textId="77777777" w:rsidR="002C26E2" w:rsidRDefault="00812CB4">
            <w:pPr>
              <w:spacing w:after="0" w:line="259" w:lineRule="auto"/>
              <w:ind w:left="0" w:right="14" w:firstLine="0"/>
              <w:jc w:val="center"/>
            </w:pPr>
            <w:r>
              <w:rPr>
                <w:b/>
                <w:sz w:val="20"/>
              </w:rPr>
              <w:t xml:space="preserve">3 </w:t>
            </w:r>
          </w:p>
        </w:tc>
        <w:tc>
          <w:tcPr>
            <w:tcW w:w="1561" w:type="dxa"/>
            <w:tcBorders>
              <w:top w:val="single" w:sz="8" w:space="0" w:color="000000"/>
              <w:left w:val="single" w:sz="8" w:space="0" w:color="000000"/>
              <w:bottom w:val="single" w:sz="8" w:space="0" w:color="000000"/>
              <w:right w:val="single" w:sz="8" w:space="0" w:color="000000"/>
            </w:tcBorders>
          </w:tcPr>
          <w:p w14:paraId="7698593B" w14:textId="77777777" w:rsidR="002C26E2" w:rsidRDefault="00812CB4">
            <w:pPr>
              <w:spacing w:after="0" w:line="259" w:lineRule="auto"/>
              <w:ind w:left="0" w:right="11" w:firstLine="0"/>
              <w:jc w:val="center"/>
            </w:pPr>
            <w:r>
              <w:rPr>
                <w:sz w:val="20"/>
              </w:rPr>
              <w:t xml:space="preserve">91,788 </w:t>
            </w:r>
          </w:p>
        </w:tc>
        <w:tc>
          <w:tcPr>
            <w:tcW w:w="1482" w:type="dxa"/>
            <w:tcBorders>
              <w:top w:val="single" w:sz="8" w:space="0" w:color="000000"/>
              <w:left w:val="single" w:sz="8" w:space="0" w:color="000000"/>
              <w:bottom w:val="single" w:sz="8" w:space="0" w:color="000000"/>
              <w:right w:val="single" w:sz="8" w:space="0" w:color="000000"/>
            </w:tcBorders>
          </w:tcPr>
          <w:p w14:paraId="4DA426F1" w14:textId="77777777" w:rsidR="002C26E2" w:rsidRDefault="00812CB4">
            <w:pPr>
              <w:spacing w:after="0" w:line="259" w:lineRule="auto"/>
              <w:ind w:left="0" w:right="11" w:firstLine="0"/>
              <w:jc w:val="center"/>
            </w:pPr>
            <w:r>
              <w:rPr>
                <w:sz w:val="20"/>
              </w:rPr>
              <w:t xml:space="preserve">117,414 </w:t>
            </w:r>
          </w:p>
        </w:tc>
        <w:tc>
          <w:tcPr>
            <w:tcW w:w="1701" w:type="dxa"/>
            <w:tcBorders>
              <w:top w:val="single" w:sz="8" w:space="0" w:color="000000"/>
              <w:left w:val="single" w:sz="8" w:space="0" w:color="000000"/>
              <w:bottom w:val="single" w:sz="8" w:space="0" w:color="000000"/>
              <w:right w:val="single" w:sz="8" w:space="0" w:color="000000"/>
            </w:tcBorders>
          </w:tcPr>
          <w:p w14:paraId="2D76C4CB" w14:textId="77777777" w:rsidR="002C26E2" w:rsidRDefault="00812CB4">
            <w:pPr>
              <w:spacing w:after="0" w:line="259" w:lineRule="auto"/>
              <w:ind w:left="0" w:right="7" w:firstLine="0"/>
              <w:jc w:val="center"/>
            </w:pPr>
            <w:r>
              <w:rPr>
                <w:sz w:val="20"/>
              </w:rPr>
              <w:t xml:space="preserve">153,188 </w:t>
            </w:r>
          </w:p>
        </w:tc>
        <w:tc>
          <w:tcPr>
            <w:tcW w:w="1514" w:type="dxa"/>
            <w:tcBorders>
              <w:top w:val="single" w:sz="8" w:space="0" w:color="000000"/>
              <w:left w:val="single" w:sz="8" w:space="0" w:color="000000"/>
              <w:bottom w:val="single" w:sz="8" w:space="0" w:color="000000"/>
              <w:right w:val="single" w:sz="8" w:space="0" w:color="000000"/>
            </w:tcBorders>
          </w:tcPr>
          <w:p w14:paraId="40686009" w14:textId="77777777" w:rsidR="002C26E2" w:rsidRDefault="00812CB4">
            <w:pPr>
              <w:spacing w:after="0" w:line="259" w:lineRule="auto"/>
              <w:ind w:left="0" w:right="15" w:firstLine="0"/>
              <w:jc w:val="center"/>
            </w:pPr>
            <w:r>
              <w:rPr>
                <w:sz w:val="20"/>
              </w:rPr>
              <w:t xml:space="preserve">206,918 </w:t>
            </w:r>
          </w:p>
        </w:tc>
      </w:tr>
      <w:tr w:rsidR="002C26E2" w14:paraId="3528F9CE" w14:textId="77777777">
        <w:trPr>
          <w:trHeight w:val="526"/>
        </w:trPr>
        <w:tc>
          <w:tcPr>
            <w:tcW w:w="1687" w:type="dxa"/>
            <w:tcBorders>
              <w:top w:val="single" w:sz="8" w:space="0" w:color="000000"/>
              <w:left w:val="single" w:sz="8" w:space="0" w:color="000000"/>
              <w:bottom w:val="single" w:sz="8" w:space="0" w:color="000000"/>
              <w:right w:val="single" w:sz="8" w:space="0" w:color="000000"/>
            </w:tcBorders>
          </w:tcPr>
          <w:p w14:paraId="4ABEB4EE" w14:textId="77777777" w:rsidR="002C26E2" w:rsidRDefault="00812CB4">
            <w:pPr>
              <w:spacing w:after="0" w:line="259" w:lineRule="auto"/>
              <w:ind w:left="0" w:right="14" w:firstLine="0"/>
              <w:jc w:val="center"/>
            </w:pPr>
            <w:r>
              <w:rPr>
                <w:b/>
                <w:sz w:val="20"/>
              </w:rPr>
              <w:t xml:space="preserve">4 </w:t>
            </w:r>
          </w:p>
        </w:tc>
        <w:tc>
          <w:tcPr>
            <w:tcW w:w="1561" w:type="dxa"/>
            <w:tcBorders>
              <w:top w:val="single" w:sz="8" w:space="0" w:color="000000"/>
              <w:left w:val="single" w:sz="8" w:space="0" w:color="000000"/>
              <w:bottom w:val="single" w:sz="8" w:space="0" w:color="000000"/>
              <w:right w:val="single" w:sz="8" w:space="0" w:color="000000"/>
            </w:tcBorders>
          </w:tcPr>
          <w:p w14:paraId="112FF664" w14:textId="77777777" w:rsidR="002C26E2" w:rsidRDefault="00812CB4">
            <w:pPr>
              <w:spacing w:after="0" w:line="259" w:lineRule="auto"/>
              <w:ind w:left="0" w:right="11" w:firstLine="0"/>
              <w:jc w:val="center"/>
            </w:pPr>
            <w:r>
              <w:rPr>
                <w:sz w:val="20"/>
              </w:rPr>
              <w:t xml:space="preserve">93,551 </w:t>
            </w:r>
          </w:p>
        </w:tc>
        <w:tc>
          <w:tcPr>
            <w:tcW w:w="1482" w:type="dxa"/>
            <w:tcBorders>
              <w:top w:val="single" w:sz="8" w:space="0" w:color="000000"/>
              <w:left w:val="single" w:sz="8" w:space="0" w:color="000000"/>
              <w:bottom w:val="single" w:sz="8" w:space="0" w:color="000000"/>
              <w:right w:val="single" w:sz="8" w:space="0" w:color="000000"/>
            </w:tcBorders>
          </w:tcPr>
          <w:p w14:paraId="780C0B54" w14:textId="77777777" w:rsidR="002C26E2" w:rsidRDefault="00812CB4">
            <w:pPr>
              <w:spacing w:after="0" w:line="259" w:lineRule="auto"/>
              <w:ind w:left="0" w:right="11" w:firstLine="0"/>
              <w:jc w:val="center"/>
            </w:pPr>
            <w:r>
              <w:rPr>
                <w:sz w:val="20"/>
              </w:rPr>
              <w:t xml:space="preserve">119,590 </w:t>
            </w:r>
          </w:p>
        </w:tc>
        <w:tc>
          <w:tcPr>
            <w:tcW w:w="1701" w:type="dxa"/>
            <w:tcBorders>
              <w:top w:val="single" w:sz="8" w:space="0" w:color="000000"/>
              <w:left w:val="single" w:sz="8" w:space="0" w:color="000000"/>
              <w:bottom w:val="single" w:sz="8" w:space="0" w:color="000000"/>
              <w:right w:val="single" w:sz="8" w:space="0" w:color="000000"/>
            </w:tcBorders>
          </w:tcPr>
          <w:p w14:paraId="011B8DC8" w14:textId="77777777" w:rsidR="002C26E2" w:rsidRDefault="00812CB4">
            <w:pPr>
              <w:spacing w:after="0" w:line="259" w:lineRule="auto"/>
              <w:ind w:left="0" w:right="7" w:firstLine="0"/>
              <w:jc w:val="center"/>
            </w:pPr>
            <w:r>
              <w:rPr>
                <w:sz w:val="20"/>
              </w:rPr>
              <w:t xml:space="preserve">156,548 </w:t>
            </w:r>
          </w:p>
        </w:tc>
        <w:tc>
          <w:tcPr>
            <w:tcW w:w="1514" w:type="dxa"/>
            <w:tcBorders>
              <w:top w:val="single" w:sz="8" w:space="0" w:color="000000"/>
              <w:left w:val="single" w:sz="8" w:space="0" w:color="000000"/>
              <w:bottom w:val="single" w:sz="8" w:space="0" w:color="000000"/>
              <w:right w:val="single" w:sz="8" w:space="0" w:color="000000"/>
            </w:tcBorders>
          </w:tcPr>
          <w:p w14:paraId="191AD34D" w14:textId="77777777" w:rsidR="002C26E2" w:rsidRDefault="00812CB4">
            <w:pPr>
              <w:spacing w:after="0" w:line="259" w:lineRule="auto"/>
              <w:ind w:left="0" w:right="15" w:firstLine="0"/>
              <w:jc w:val="center"/>
            </w:pPr>
            <w:r>
              <w:rPr>
                <w:sz w:val="20"/>
              </w:rPr>
              <w:t xml:space="preserve">211,547 </w:t>
            </w:r>
          </w:p>
        </w:tc>
      </w:tr>
      <w:tr w:rsidR="002C26E2" w14:paraId="53582276" w14:textId="77777777">
        <w:trPr>
          <w:trHeight w:val="526"/>
        </w:trPr>
        <w:tc>
          <w:tcPr>
            <w:tcW w:w="1687" w:type="dxa"/>
            <w:tcBorders>
              <w:top w:val="single" w:sz="8" w:space="0" w:color="000000"/>
              <w:left w:val="single" w:sz="8" w:space="0" w:color="000000"/>
              <w:bottom w:val="single" w:sz="8" w:space="0" w:color="000000"/>
              <w:right w:val="single" w:sz="8" w:space="0" w:color="000000"/>
            </w:tcBorders>
          </w:tcPr>
          <w:p w14:paraId="00042819" w14:textId="77777777" w:rsidR="002C26E2" w:rsidRDefault="00812CB4">
            <w:pPr>
              <w:spacing w:after="0" w:line="259" w:lineRule="auto"/>
              <w:ind w:left="0" w:right="14" w:firstLine="0"/>
              <w:jc w:val="center"/>
            </w:pPr>
            <w:r>
              <w:rPr>
                <w:b/>
                <w:sz w:val="20"/>
              </w:rPr>
              <w:t xml:space="preserve">5 </w:t>
            </w:r>
          </w:p>
        </w:tc>
        <w:tc>
          <w:tcPr>
            <w:tcW w:w="1561" w:type="dxa"/>
            <w:tcBorders>
              <w:top w:val="single" w:sz="8" w:space="0" w:color="000000"/>
              <w:left w:val="single" w:sz="8" w:space="0" w:color="000000"/>
              <w:bottom w:val="single" w:sz="8" w:space="0" w:color="000000"/>
              <w:right w:val="single" w:sz="8" w:space="0" w:color="000000"/>
            </w:tcBorders>
          </w:tcPr>
          <w:p w14:paraId="3A82F128" w14:textId="77777777" w:rsidR="002C26E2" w:rsidRDefault="00812CB4">
            <w:pPr>
              <w:spacing w:after="0" w:line="259" w:lineRule="auto"/>
              <w:ind w:left="0" w:right="11" w:firstLine="0"/>
              <w:jc w:val="center"/>
            </w:pPr>
            <w:r>
              <w:rPr>
                <w:sz w:val="20"/>
              </w:rPr>
              <w:t xml:space="preserve">95,309 </w:t>
            </w:r>
          </w:p>
        </w:tc>
        <w:tc>
          <w:tcPr>
            <w:tcW w:w="1482" w:type="dxa"/>
            <w:tcBorders>
              <w:top w:val="single" w:sz="8" w:space="0" w:color="000000"/>
              <w:left w:val="single" w:sz="8" w:space="0" w:color="000000"/>
              <w:bottom w:val="single" w:sz="8" w:space="0" w:color="000000"/>
              <w:right w:val="single" w:sz="8" w:space="0" w:color="000000"/>
            </w:tcBorders>
          </w:tcPr>
          <w:p w14:paraId="4C6A51DA" w14:textId="77777777" w:rsidR="002C26E2" w:rsidRDefault="00812CB4">
            <w:pPr>
              <w:spacing w:after="0" w:line="259" w:lineRule="auto"/>
              <w:ind w:left="0" w:right="11" w:firstLine="0"/>
              <w:jc w:val="center"/>
            </w:pPr>
            <w:r>
              <w:rPr>
                <w:sz w:val="20"/>
              </w:rPr>
              <w:t xml:space="preserve">121,769 </w:t>
            </w:r>
          </w:p>
        </w:tc>
        <w:tc>
          <w:tcPr>
            <w:tcW w:w="1701" w:type="dxa"/>
            <w:tcBorders>
              <w:top w:val="single" w:sz="8" w:space="0" w:color="000000"/>
              <w:left w:val="single" w:sz="8" w:space="0" w:color="000000"/>
              <w:bottom w:val="single" w:sz="8" w:space="0" w:color="000000"/>
              <w:right w:val="single" w:sz="8" w:space="0" w:color="000000"/>
            </w:tcBorders>
          </w:tcPr>
          <w:p w14:paraId="25D2FEB3" w14:textId="77777777" w:rsidR="002C26E2" w:rsidRDefault="00812CB4">
            <w:pPr>
              <w:spacing w:after="0" w:line="259" w:lineRule="auto"/>
              <w:ind w:left="0" w:right="7" w:firstLine="0"/>
              <w:jc w:val="center"/>
            </w:pPr>
            <w:r>
              <w:rPr>
                <w:sz w:val="20"/>
              </w:rPr>
              <w:t xml:space="preserve">159,907 </w:t>
            </w:r>
          </w:p>
        </w:tc>
        <w:tc>
          <w:tcPr>
            <w:tcW w:w="1514" w:type="dxa"/>
            <w:tcBorders>
              <w:top w:val="single" w:sz="8" w:space="0" w:color="000000"/>
              <w:left w:val="single" w:sz="8" w:space="0" w:color="000000"/>
              <w:bottom w:val="single" w:sz="8" w:space="0" w:color="000000"/>
              <w:right w:val="single" w:sz="8" w:space="0" w:color="000000"/>
            </w:tcBorders>
          </w:tcPr>
          <w:p w14:paraId="2A81DF16" w14:textId="77777777" w:rsidR="002C26E2" w:rsidRDefault="00812CB4">
            <w:pPr>
              <w:spacing w:after="0" w:line="259" w:lineRule="auto"/>
              <w:ind w:left="0" w:right="15" w:firstLine="0"/>
              <w:jc w:val="center"/>
            </w:pPr>
            <w:r>
              <w:rPr>
                <w:sz w:val="20"/>
              </w:rPr>
              <w:t xml:space="preserve">216,176 </w:t>
            </w:r>
          </w:p>
        </w:tc>
      </w:tr>
      <w:tr w:rsidR="002C26E2" w14:paraId="056147FF" w14:textId="77777777">
        <w:trPr>
          <w:trHeight w:val="526"/>
        </w:trPr>
        <w:tc>
          <w:tcPr>
            <w:tcW w:w="1687" w:type="dxa"/>
            <w:tcBorders>
              <w:top w:val="single" w:sz="8" w:space="0" w:color="000000"/>
              <w:left w:val="single" w:sz="8" w:space="0" w:color="000000"/>
              <w:bottom w:val="single" w:sz="8" w:space="0" w:color="000000"/>
              <w:right w:val="single" w:sz="8" w:space="0" w:color="000000"/>
            </w:tcBorders>
          </w:tcPr>
          <w:p w14:paraId="772EF00A" w14:textId="77777777" w:rsidR="002C26E2" w:rsidRDefault="00812CB4">
            <w:pPr>
              <w:spacing w:after="0" w:line="259" w:lineRule="auto"/>
              <w:ind w:left="0" w:right="166" w:firstLine="0"/>
              <w:jc w:val="center"/>
            </w:pPr>
            <w:r>
              <w:rPr>
                <w:b/>
                <w:sz w:val="20"/>
              </w:rPr>
              <w:t xml:space="preserve">Maximum  </w:t>
            </w:r>
          </w:p>
        </w:tc>
        <w:tc>
          <w:tcPr>
            <w:tcW w:w="1561" w:type="dxa"/>
            <w:tcBorders>
              <w:top w:val="single" w:sz="8" w:space="0" w:color="000000"/>
              <w:left w:val="single" w:sz="8" w:space="0" w:color="000000"/>
              <w:bottom w:val="single" w:sz="8" w:space="0" w:color="000000"/>
              <w:right w:val="single" w:sz="8" w:space="0" w:color="000000"/>
            </w:tcBorders>
          </w:tcPr>
          <w:p w14:paraId="5EBBB467" w14:textId="77777777" w:rsidR="002C26E2" w:rsidRDefault="00812CB4">
            <w:pPr>
              <w:spacing w:after="0" w:line="259" w:lineRule="auto"/>
              <w:ind w:left="0" w:right="11" w:firstLine="0"/>
              <w:jc w:val="center"/>
            </w:pPr>
            <w:r>
              <w:rPr>
                <w:sz w:val="20"/>
              </w:rPr>
              <w:t xml:space="preserve">97,070 </w:t>
            </w:r>
          </w:p>
        </w:tc>
        <w:tc>
          <w:tcPr>
            <w:tcW w:w="1482" w:type="dxa"/>
            <w:tcBorders>
              <w:top w:val="single" w:sz="8" w:space="0" w:color="000000"/>
              <w:left w:val="single" w:sz="8" w:space="0" w:color="000000"/>
              <w:bottom w:val="single" w:sz="8" w:space="0" w:color="000000"/>
              <w:right w:val="single" w:sz="8" w:space="0" w:color="000000"/>
            </w:tcBorders>
          </w:tcPr>
          <w:p w14:paraId="6204CE86" w14:textId="77777777" w:rsidR="002C26E2" w:rsidRDefault="00812CB4">
            <w:pPr>
              <w:spacing w:after="0" w:line="259" w:lineRule="auto"/>
              <w:ind w:left="0" w:right="11" w:firstLine="0"/>
              <w:jc w:val="center"/>
            </w:pPr>
            <w:r>
              <w:rPr>
                <w:sz w:val="20"/>
              </w:rPr>
              <w:t xml:space="preserve">123,946 </w:t>
            </w:r>
          </w:p>
        </w:tc>
        <w:tc>
          <w:tcPr>
            <w:tcW w:w="1701" w:type="dxa"/>
            <w:tcBorders>
              <w:top w:val="single" w:sz="8" w:space="0" w:color="000000"/>
              <w:left w:val="single" w:sz="8" w:space="0" w:color="000000"/>
              <w:bottom w:val="single" w:sz="8" w:space="0" w:color="000000"/>
              <w:right w:val="single" w:sz="8" w:space="0" w:color="000000"/>
            </w:tcBorders>
          </w:tcPr>
          <w:p w14:paraId="6D73D53A" w14:textId="77777777" w:rsidR="002C26E2" w:rsidRDefault="00812CB4">
            <w:pPr>
              <w:spacing w:after="0" w:line="259" w:lineRule="auto"/>
              <w:ind w:left="0" w:right="7" w:firstLine="0"/>
              <w:jc w:val="center"/>
            </w:pPr>
            <w:r>
              <w:rPr>
                <w:sz w:val="20"/>
              </w:rPr>
              <w:t xml:space="preserve">163,267 </w:t>
            </w:r>
          </w:p>
        </w:tc>
        <w:tc>
          <w:tcPr>
            <w:tcW w:w="1514" w:type="dxa"/>
            <w:tcBorders>
              <w:top w:val="single" w:sz="8" w:space="0" w:color="000000"/>
              <w:left w:val="single" w:sz="8" w:space="0" w:color="000000"/>
              <w:bottom w:val="single" w:sz="8" w:space="0" w:color="000000"/>
              <w:right w:val="single" w:sz="8" w:space="0" w:color="000000"/>
            </w:tcBorders>
          </w:tcPr>
          <w:p w14:paraId="0FC7F727" w14:textId="77777777" w:rsidR="002C26E2" w:rsidRDefault="00812CB4">
            <w:pPr>
              <w:spacing w:after="0" w:line="259" w:lineRule="auto"/>
              <w:ind w:left="0" w:right="15" w:firstLine="0"/>
              <w:jc w:val="center"/>
            </w:pPr>
            <w:r>
              <w:rPr>
                <w:sz w:val="20"/>
              </w:rPr>
              <w:t xml:space="preserve">220,804 </w:t>
            </w:r>
          </w:p>
        </w:tc>
      </w:tr>
    </w:tbl>
    <w:p w14:paraId="0F6B4776" w14:textId="77777777" w:rsidR="002C26E2" w:rsidRDefault="00812CB4">
      <w:pPr>
        <w:spacing w:after="12" w:line="259" w:lineRule="auto"/>
        <w:ind w:left="7" w:right="225"/>
      </w:pPr>
      <w:r>
        <w:t xml:space="preserve">By comparing the pay scales in 2016 against those of August 2025 (which are in place until 31 March 2026), we note the increases are as shown in the table below. </w:t>
      </w:r>
    </w:p>
    <w:p w14:paraId="4FAE0579" w14:textId="77777777" w:rsidR="009D5B98" w:rsidRDefault="009D5B98">
      <w:pPr>
        <w:spacing w:after="12" w:line="259" w:lineRule="auto"/>
        <w:ind w:left="7" w:right="225"/>
      </w:pPr>
    </w:p>
    <w:tbl>
      <w:tblPr>
        <w:tblStyle w:val="TableGrid0"/>
        <w:tblW w:w="0" w:type="auto"/>
        <w:tblInd w:w="-5" w:type="dxa"/>
        <w:tblLook w:val="04A0" w:firstRow="1" w:lastRow="0" w:firstColumn="1" w:lastColumn="0" w:noHBand="0" w:noVBand="1"/>
      </w:tblPr>
      <w:tblGrid>
        <w:gridCol w:w="7359"/>
      </w:tblGrid>
      <w:tr w:rsidR="009D5B98" w14:paraId="16748D14" w14:textId="77777777" w:rsidTr="009D5B98">
        <w:tc>
          <w:tcPr>
            <w:tcW w:w="7359" w:type="dxa"/>
            <w:shd w:val="clear" w:color="auto" w:fill="424996"/>
          </w:tcPr>
          <w:p w14:paraId="188A8DF4" w14:textId="1F7921CC" w:rsidR="009D5B98" w:rsidRDefault="009D5B98">
            <w:pPr>
              <w:spacing w:after="12" w:line="259" w:lineRule="auto"/>
              <w:ind w:left="0" w:right="225" w:firstLine="0"/>
            </w:pPr>
            <w:r>
              <w:rPr>
                <w:b/>
                <w:color w:val="FFFFFF"/>
                <w:sz w:val="20"/>
              </w:rPr>
              <w:t>Percentage Uplift 01/08/16 - 31/03/2026</w:t>
            </w:r>
          </w:p>
        </w:tc>
      </w:tr>
    </w:tbl>
    <w:tbl>
      <w:tblPr>
        <w:tblStyle w:val="TableGrid"/>
        <w:tblW w:w="7314" w:type="dxa"/>
        <w:tblInd w:w="24" w:type="dxa"/>
        <w:tblCellMar>
          <w:top w:w="51" w:type="dxa"/>
          <w:left w:w="134" w:type="dxa"/>
          <w:bottom w:w="0" w:type="dxa"/>
          <w:right w:w="18" w:type="dxa"/>
        </w:tblCellMar>
        <w:tblLook w:val="04A0" w:firstRow="1" w:lastRow="0" w:firstColumn="1" w:lastColumn="0" w:noHBand="0" w:noVBand="1"/>
      </w:tblPr>
      <w:tblGrid>
        <w:gridCol w:w="1559"/>
        <w:gridCol w:w="1557"/>
        <w:gridCol w:w="1367"/>
        <w:gridCol w:w="1365"/>
        <w:gridCol w:w="1466"/>
      </w:tblGrid>
      <w:tr w:rsidR="002C26E2" w14:paraId="525BE50E" w14:textId="77777777" w:rsidTr="009D5B98">
        <w:trPr>
          <w:trHeight w:val="662"/>
        </w:trPr>
        <w:tc>
          <w:tcPr>
            <w:tcW w:w="1559" w:type="dxa"/>
            <w:tcBorders>
              <w:top w:val="single" w:sz="8" w:space="0" w:color="000000"/>
              <w:left w:val="single" w:sz="8" w:space="0" w:color="000000"/>
              <w:bottom w:val="single" w:sz="8" w:space="0" w:color="000000"/>
              <w:right w:val="single" w:sz="8" w:space="0" w:color="000000"/>
            </w:tcBorders>
            <w:shd w:val="clear" w:color="auto" w:fill="424996"/>
          </w:tcPr>
          <w:p w14:paraId="33D48B0A" w14:textId="77777777" w:rsidR="002C26E2" w:rsidRDefault="00812CB4">
            <w:pPr>
              <w:spacing w:after="0" w:line="259" w:lineRule="auto"/>
              <w:ind w:left="407" w:firstLine="0"/>
              <w:jc w:val="center"/>
            </w:pPr>
            <w:r>
              <w:rPr>
                <w:b/>
                <w:sz w:val="20"/>
              </w:rPr>
              <w:t xml:space="preserve">  </w:t>
            </w:r>
          </w:p>
        </w:tc>
        <w:tc>
          <w:tcPr>
            <w:tcW w:w="1557" w:type="dxa"/>
            <w:tcBorders>
              <w:top w:val="single" w:sz="8" w:space="0" w:color="000000"/>
              <w:left w:val="single" w:sz="8" w:space="0" w:color="000000"/>
              <w:bottom w:val="single" w:sz="8" w:space="0" w:color="000000"/>
              <w:right w:val="single" w:sz="8" w:space="0" w:color="000000"/>
            </w:tcBorders>
            <w:shd w:val="clear" w:color="auto" w:fill="424996"/>
          </w:tcPr>
          <w:p w14:paraId="7BE6D180" w14:textId="77777777" w:rsidR="002C26E2" w:rsidRDefault="00812CB4">
            <w:pPr>
              <w:spacing w:after="0" w:line="259" w:lineRule="auto"/>
              <w:ind w:left="0" w:right="114" w:firstLine="0"/>
              <w:jc w:val="center"/>
            </w:pPr>
            <w:r>
              <w:rPr>
                <w:b/>
                <w:color w:val="FFFFFF"/>
                <w:sz w:val="20"/>
              </w:rPr>
              <w:t xml:space="preserve">Pay Scale 1  </w:t>
            </w:r>
          </w:p>
        </w:tc>
        <w:tc>
          <w:tcPr>
            <w:tcW w:w="1367" w:type="dxa"/>
            <w:tcBorders>
              <w:top w:val="single" w:sz="8" w:space="0" w:color="000000"/>
              <w:left w:val="single" w:sz="8" w:space="0" w:color="000000"/>
              <w:bottom w:val="single" w:sz="8" w:space="0" w:color="000000"/>
              <w:right w:val="single" w:sz="8" w:space="0" w:color="000000"/>
            </w:tcBorders>
            <w:shd w:val="clear" w:color="auto" w:fill="424996"/>
          </w:tcPr>
          <w:p w14:paraId="610017A8" w14:textId="77777777" w:rsidR="002C26E2" w:rsidRDefault="00812CB4">
            <w:pPr>
              <w:spacing w:after="0" w:line="259" w:lineRule="auto"/>
              <w:ind w:left="1" w:firstLine="0"/>
            </w:pPr>
            <w:r>
              <w:rPr>
                <w:b/>
                <w:color w:val="FFFFFF"/>
                <w:sz w:val="20"/>
              </w:rPr>
              <w:t xml:space="preserve">Pay Scale 2  </w:t>
            </w:r>
          </w:p>
        </w:tc>
        <w:tc>
          <w:tcPr>
            <w:tcW w:w="1365" w:type="dxa"/>
            <w:tcBorders>
              <w:top w:val="single" w:sz="8" w:space="0" w:color="000000"/>
              <w:left w:val="single" w:sz="8" w:space="0" w:color="000000"/>
              <w:bottom w:val="single" w:sz="8" w:space="0" w:color="000000"/>
              <w:right w:val="single" w:sz="8" w:space="0" w:color="000000"/>
            </w:tcBorders>
            <w:shd w:val="clear" w:color="auto" w:fill="424996"/>
          </w:tcPr>
          <w:p w14:paraId="5B98611F" w14:textId="77777777" w:rsidR="002C26E2" w:rsidRDefault="00812CB4">
            <w:pPr>
              <w:spacing w:after="0" w:line="259" w:lineRule="auto"/>
              <w:ind w:left="0" w:firstLine="0"/>
            </w:pPr>
            <w:r>
              <w:rPr>
                <w:b/>
                <w:color w:val="FFFFFF"/>
                <w:sz w:val="20"/>
              </w:rPr>
              <w:t xml:space="preserve">Pay Scale 3  </w:t>
            </w:r>
          </w:p>
        </w:tc>
        <w:tc>
          <w:tcPr>
            <w:tcW w:w="1466" w:type="dxa"/>
            <w:tcBorders>
              <w:top w:val="single" w:sz="8" w:space="0" w:color="000000"/>
              <w:left w:val="single" w:sz="8" w:space="0" w:color="000000"/>
              <w:bottom w:val="single" w:sz="8" w:space="0" w:color="000000"/>
              <w:right w:val="single" w:sz="8" w:space="0" w:color="000000"/>
            </w:tcBorders>
            <w:shd w:val="clear" w:color="auto" w:fill="424996"/>
          </w:tcPr>
          <w:p w14:paraId="7FD2BAF9" w14:textId="77777777" w:rsidR="002C26E2" w:rsidRDefault="00812CB4">
            <w:pPr>
              <w:spacing w:after="0" w:line="259" w:lineRule="auto"/>
              <w:ind w:left="0" w:right="163" w:firstLine="0"/>
              <w:jc w:val="right"/>
            </w:pPr>
            <w:r>
              <w:rPr>
                <w:b/>
                <w:color w:val="FFFFFF"/>
                <w:sz w:val="20"/>
              </w:rPr>
              <w:t xml:space="preserve">Pay Scale 4  </w:t>
            </w:r>
          </w:p>
        </w:tc>
      </w:tr>
      <w:tr w:rsidR="002C26E2" w14:paraId="77C0C298" w14:textId="77777777" w:rsidTr="009D5B98">
        <w:trPr>
          <w:trHeight w:val="528"/>
        </w:trPr>
        <w:tc>
          <w:tcPr>
            <w:tcW w:w="1559" w:type="dxa"/>
            <w:tcBorders>
              <w:top w:val="single" w:sz="8" w:space="0" w:color="000000"/>
              <w:left w:val="single" w:sz="8" w:space="0" w:color="000000"/>
              <w:bottom w:val="single" w:sz="8" w:space="0" w:color="000000"/>
              <w:right w:val="single" w:sz="8" w:space="0" w:color="000000"/>
            </w:tcBorders>
          </w:tcPr>
          <w:p w14:paraId="2A6F3B01" w14:textId="77777777" w:rsidR="002C26E2" w:rsidRDefault="00812CB4">
            <w:pPr>
              <w:spacing w:after="0" w:line="259" w:lineRule="auto"/>
              <w:ind w:left="349" w:firstLine="0"/>
              <w:jc w:val="center"/>
            </w:pPr>
            <w:r>
              <w:rPr>
                <w:b/>
                <w:sz w:val="20"/>
              </w:rPr>
              <w:t xml:space="preserve">1 </w:t>
            </w:r>
          </w:p>
        </w:tc>
        <w:tc>
          <w:tcPr>
            <w:tcW w:w="1557" w:type="dxa"/>
            <w:tcBorders>
              <w:top w:val="single" w:sz="8" w:space="0" w:color="000000"/>
              <w:left w:val="single" w:sz="8" w:space="0" w:color="000000"/>
              <w:bottom w:val="single" w:sz="8" w:space="0" w:color="000000"/>
              <w:right w:val="single" w:sz="8" w:space="0" w:color="000000"/>
            </w:tcBorders>
          </w:tcPr>
          <w:p w14:paraId="083764F1" w14:textId="77777777" w:rsidR="002C26E2" w:rsidRDefault="00812CB4">
            <w:pPr>
              <w:spacing w:after="0" w:line="259" w:lineRule="auto"/>
              <w:ind w:left="541" w:firstLine="0"/>
            </w:pPr>
            <w:r>
              <w:rPr>
                <w:sz w:val="20"/>
              </w:rPr>
              <w:t xml:space="preserve">22.86% </w:t>
            </w:r>
          </w:p>
        </w:tc>
        <w:tc>
          <w:tcPr>
            <w:tcW w:w="1367" w:type="dxa"/>
            <w:tcBorders>
              <w:top w:val="single" w:sz="8" w:space="0" w:color="000000"/>
              <w:left w:val="single" w:sz="8" w:space="0" w:color="000000"/>
              <w:bottom w:val="single" w:sz="8" w:space="0" w:color="000000"/>
              <w:right w:val="single" w:sz="8" w:space="0" w:color="000000"/>
            </w:tcBorders>
          </w:tcPr>
          <w:p w14:paraId="50282148" w14:textId="77777777" w:rsidR="002C26E2" w:rsidRDefault="00812CB4">
            <w:pPr>
              <w:spacing w:after="0" w:line="259" w:lineRule="auto"/>
              <w:ind w:left="0" w:right="94" w:firstLine="0"/>
              <w:jc w:val="right"/>
            </w:pPr>
            <w:r>
              <w:rPr>
                <w:sz w:val="20"/>
              </w:rPr>
              <w:t xml:space="preserve">22.67% </w:t>
            </w:r>
          </w:p>
        </w:tc>
        <w:tc>
          <w:tcPr>
            <w:tcW w:w="1365" w:type="dxa"/>
            <w:tcBorders>
              <w:top w:val="single" w:sz="8" w:space="0" w:color="000000"/>
              <w:left w:val="single" w:sz="8" w:space="0" w:color="000000"/>
              <w:bottom w:val="single" w:sz="8" w:space="0" w:color="000000"/>
              <w:right w:val="single" w:sz="8" w:space="0" w:color="000000"/>
            </w:tcBorders>
          </w:tcPr>
          <w:p w14:paraId="2E9195AF" w14:textId="77777777" w:rsidR="002C26E2" w:rsidRDefault="00812CB4">
            <w:pPr>
              <w:spacing w:after="0" w:line="259" w:lineRule="auto"/>
              <w:ind w:left="0" w:right="92" w:firstLine="0"/>
              <w:jc w:val="right"/>
            </w:pPr>
            <w:r>
              <w:rPr>
                <w:sz w:val="20"/>
              </w:rPr>
              <w:t xml:space="preserve">22.51% </w:t>
            </w:r>
          </w:p>
        </w:tc>
        <w:tc>
          <w:tcPr>
            <w:tcW w:w="1466" w:type="dxa"/>
            <w:tcBorders>
              <w:top w:val="single" w:sz="8" w:space="0" w:color="000000"/>
              <w:left w:val="single" w:sz="8" w:space="0" w:color="000000"/>
              <w:bottom w:val="single" w:sz="8" w:space="0" w:color="000000"/>
              <w:right w:val="single" w:sz="8" w:space="0" w:color="000000"/>
            </w:tcBorders>
          </w:tcPr>
          <w:p w14:paraId="22281BD7" w14:textId="77777777" w:rsidR="002C26E2" w:rsidRDefault="00812CB4">
            <w:pPr>
              <w:spacing w:after="0" w:line="259" w:lineRule="auto"/>
              <w:ind w:left="0" w:right="141" w:firstLine="0"/>
              <w:jc w:val="right"/>
            </w:pPr>
            <w:r>
              <w:rPr>
                <w:sz w:val="20"/>
              </w:rPr>
              <w:t xml:space="preserve">22.37% </w:t>
            </w:r>
          </w:p>
        </w:tc>
      </w:tr>
      <w:tr w:rsidR="002C26E2" w14:paraId="18F478B2" w14:textId="77777777" w:rsidTr="009D5B98">
        <w:trPr>
          <w:trHeight w:val="526"/>
        </w:trPr>
        <w:tc>
          <w:tcPr>
            <w:tcW w:w="1559" w:type="dxa"/>
            <w:tcBorders>
              <w:top w:val="single" w:sz="8" w:space="0" w:color="000000"/>
              <w:left w:val="single" w:sz="8" w:space="0" w:color="000000"/>
              <w:bottom w:val="single" w:sz="8" w:space="0" w:color="000000"/>
              <w:right w:val="single" w:sz="8" w:space="0" w:color="000000"/>
            </w:tcBorders>
          </w:tcPr>
          <w:p w14:paraId="38F649F7" w14:textId="77777777" w:rsidR="002C26E2" w:rsidRDefault="00812CB4">
            <w:pPr>
              <w:spacing w:after="0" w:line="259" w:lineRule="auto"/>
              <w:ind w:left="349" w:firstLine="0"/>
              <w:jc w:val="center"/>
            </w:pPr>
            <w:r>
              <w:rPr>
                <w:b/>
                <w:sz w:val="20"/>
              </w:rPr>
              <w:t xml:space="preserve">2 </w:t>
            </w:r>
          </w:p>
        </w:tc>
        <w:tc>
          <w:tcPr>
            <w:tcW w:w="1557" w:type="dxa"/>
            <w:tcBorders>
              <w:top w:val="single" w:sz="8" w:space="0" w:color="000000"/>
              <w:left w:val="single" w:sz="8" w:space="0" w:color="000000"/>
              <w:bottom w:val="single" w:sz="8" w:space="0" w:color="000000"/>
              <w:right w:val="single" w:sz="8" w:space="0" w:color="000000"/>
            </w:tcBorders>
          </w:tcPr>
          <w:p w14:paraId="5B804F3D" w14:textId="77777777" w:rsidR="002C26E2" w:rsidRDefault="00812CB4">
            <w:pPr>
              <w:spacing w:after="0" w:line="259" w:lineRule="auto"/>
              <w:ind w:left="541" w:firstLine="0"/>
            </w:pPr>
            <w:r>
              <w:rPr>
                <w:sz w:val="20"/>
              </w:rPr>
              <w:t xml:space="preserve">22.84% </w:t>
            </w:r>
          </w:p>
        </w:tc>
        <w:tc>
          <w:tcPr>
            <w:tcW w:w="1367" w:type="dxa"/>
            <w:tcBorders>
              <w:top w:val="single" w:sz="8" w:space="0" w:color="000000"/>
              <w:left w:val="single" w:sz="8" w:space="0" w:color="000000"/>
              <w:bottom w:val="single" w:sz="8" w:space="0" w:color="000000"/>
              <w:right w:val="single" w:sz="8" w:space="0" w:color="000000"/>
            </w:tcBorders>
          </w:tcPr>
          <w:p w14:paraId="646CAE13" w14:textId="77777777" w:rsidR="002C26E2" w:rsidRDefault="00812CB4">
            <w:pPr>
              <w:spacing w:after="0" w:line="259" w:lineRule="auto"/>
              <w:ind w:left="0" w:right="94" w:firstLine="0"/>
              <w:jc w:val="right"/>
            </w:pPr>
            <w:r>
              <w:rPr>
                <w:sz w:val="20"/>
              </w:rPr>
              <w:t xml:space="preserve">22.66% </w:t>
            </w:r>
          </w:p>
        </w:tc>
        <w:tc>
          <w:tcPr>
            <w:tcW w:w="1365" w:type="dxa"/>
            <w:tcBorders>
              <w:top w:val="single" w:sz="8" w:space="0" w:color="000000"/>
              <w:left w:val="single" w:sz="8" w:space="0" w:color="000000"/>
              <w:bottom w:val="single" w:sz="8" w:space="0" w:color="000000"/>
              <w:right w:val="single" w:sz="8" w:space="0" w:color="000000"/>
            </w:tcBorders>
          </w:tcPr>
          <w:p w14:paraId="385F03B7" w14:textId="77777777" w:rsidR="002C26E2" w:rsidRDefault="00812CB4">
            <w:pPr>
              <w:spacing w:after="0" w:line="259" w:lineRule="auto"/>
              <w:ind w:left="0" w:right="92" w:firstLine="0"/>
              <w:jc w:val="right"/>
            </w:pPr>
            <w:r>
              <w:rPr>
                <w:sz w:val="20"/>
              </w:rPr>
              <w:t xml:space="preserve">22.50% </w:t>
            </w:r>
          </w:p>
        </w:tc>
        <w:tc>
          <w:tcPr>
            <w:tcW w:w="1466" w:type="dxa"/>
            <w:tcBorders>
              <w:top w:val="single" w:sz="8" w:space="0" w:color="000000"/>
              <w:left w:val="single" w:sz="8" w:space="0" w:color="000000"/>
              <w:bottom w:val="single" w:sz="8" w:space="0" w:color="000000"/>
              <w:right w:val="single" w:sz="8" w:space="0" w:color="000000"/>
            </w:tcBorders>
          </w:tcPr>
          <w:p w14:paraId="301E6424" w14:textId="77777777" w:rsidR="002C26E2" w:rsidRDefault="00812CB4">
            <w:pPr>
              <w:spacing w:after="0" w:line="259" w:lineRule="auto"/>
              <w:ind w:left="0" w:right="141" w:firstLine="0"/>
              <w:jc w:val="right"/>
            </w:pPr>
            <w:r>
              <w:rPr>
                <w:sz w:val="20"/>
              </w:rPr>
              <w:t xml:space="preserve">22.36% </w:t>
            </w:r>
          </w:p>
        </w:tc>
      </w:tr>
      <w:tr w:rsidR="002C26E2" w14:paraId="1662351A" w14:textId="77777777" w:rsidTr="009D5B98">
        <w:trPr>
          <w:trHeight w:val="524"/>
        </w:trPr>
        <w:tc>
          <w:tcPr>
            <w:tcW w:w="1559" w:type="dxa"/>
            <w:tcBorders>
              <w:top w:val="single" w:sz="8" w:space="0" w:color="000000"/>
              <w:left w:val="single" w:sz="8" w:space="0" w:color="000000"/>
              <w:bottom w:val="single" w:sz="8" w:space="0" w:color="000000"/>
              <w:right w:val="single" w:sz="8" w:space="0" w:color="000000"/>
            </w:tcBorders>
          </w:tcPr>
          <w:p w14:paraId="75C7004E" w14:textId="77777777" w:rsidR="002C26E2" w:rsidRDefault="00812CB4">
            <w:pPr>
              <w:spacing w:after="0" w:line="259" w:lineRule="auto"/>
              <w:ind w:left="349" w:firstLine="0"/>
              <w:jc w:val="center"/>
            </w:pPr>
            <w:r>
              <w:rPr>
                <w:b/>
                <w:sz w:val="20"/>
              </w:rPr>
              <w:t xml:space="preserve">3 </w:t>
            </w:r>
          </w:p>
        </w:tc>
        <w:tc>
          <w:tcPr>
            <w:tcW w:w="1557" w:type="dxa"/>
            <w:tcBorders>
              <w:top w:val="single" w:sz="8" w:space="0" w:color="000000"/>
              <w:left w:val="single" w:sz="8" w:space="0" w:color="000000"/>
              <w:bottom w:val="single" w:sz="8" w:space="0" w:color="000000"/>
              <w:right w:val="single" w:sz="8" w:space="0" w:color="000000"/>
            </w:tcBorders>
          </w:tcPr>
          <w:p w14:paraId="6E63A0A7" w14:textId="77777777" w:rsidR="002C26E2" w:rsidRDefault="00812CB4">
            <w:pPr>
              <w:spacing w:after="0" w:line="259" w:lineRule="auto"/>
              <w:ind w:left="541" w:firstLine="0"/>
            </w:pPr>
            <w:r>
              <w:rPr>
                <w:sz w:val="20"/>
              </w:rPr>
              <w:t xml:space="preserve">22.82% </w:t>
            </w:r>
          </w:p>
        </w:tc>
        <w:tc>
          <w:tcPr>
            <w:tcW w:w="1367" w:type="dxa"/>
            <w:tcBorders>
              <w:top w:val="single" w:sz="8" w:space="0" w:color="000000"/>
              <w:left w:val="single" w:sz="8" w:space="0" w:color="000000"/>
              <w:bottom w:val="single" w:sz="8" w:space="0" w:color="000000"/>
              <w:right w:val="single" w:sz="8" w:space="0" w:color="000000"/>
            </w:tcBorders>
          </w:tcPr>
          <w:p w14:paraId="7F170B4B" w14:textId="77777777" w:rsidR="002C26E2" w:rsidRDefault="00812CB4">
            <w:pPr>
              <w:spacing w:after="0" w:line="259" w:lineRule="auto"/>
              <w:ind w:left="0" w:right="94" w:firstLine="0"/>
              <w:jc w:val="right"/>
            </w:pPr>
            <w:r>
              <w:rPr>
                <w:sz w:val="20"/>
              </w:rPr>
              <w:t xml:space="preserve">22.64% </w:t>
            </w:r>
          </w:p>
        </w:tc>
        <w:tc>
          <w:tcPr>
            <w:tcW w:w="1365" w:type="dxa"/>
            <w:tcBorders>
              <w:top w:val="single" w:sz="8" w:space="0" w:color="000000"/>
              <w:left w:val="single" w:sz="8" w:space="0" w:color="000000"/>
              <w:bottom w:val="single" w:sz="8" w:space="0" w:color="000000"/>
              <w:right w:val="single" w:sz="8" w:space="0" w:color="000000"/>
            </w:tcBorders>
          </w:tcPr>
          <w:p w14:paraId="32193A5A" w14:textId="77777777" w:rsidR="002C26E2" w:rsidRDefault="00812CB4">
            <w:pPr>
              <w:spacing w:after="0" w:line="259" w:lineRule="auto"/>
              <w:ind w:left="0" w:right="92" w:firstLine="0"/>
              <w:jc w:val="right"/>
            </w:pPr>
            <w:r>
              <w:rPr>
                <w:sz w:val="20"/>
              </w:rPr>
              <w:t xml:space="preserve">22.49% </w:t>
            </w:r>
          </w:p>
        </w:tc>
        <w:tc>
          <w:tcPr>
            <w:tcW w:w="1466" w:type="dxa"/>
            <w:tcBorders>
              <w:top w:val="single" w:sz="8" w:space="0" w:color="000000"/>
              <w:left w:val="single" w:sz="8" w:space="0" w:color="000000"/>
              <w:bottom w:val="single" w:sz="8" w:space="0" w:color="000000"/>
              <w:right w:val="single" w:sz="8" w:space="0" w:color="000000"/>
            </w:tcBorders>
          </w:tcPr>
          <w:p w14:paraId="0CE05D26" w14:textId="77777777" w:rsidR="002C26E2" w:rsidRDefault="00812CB4">
            <w:pPr>
              <w:spacing w:after="0" w:line="259" w:lineRule="auto"/>
              <w:ind w:left="0" w:right="141" w:firstLine="0"/>
              <w:jc w:val="right"/>
            </w:pPr>
            <w:r>
              <w:rPr>
                <w:sz w:val="20"/>
              </w:rPr>
              <w:t xml:space="preserve">22.36% </w:t>
            </w:r>
          </w:p>
        </w:tc>
      </w:tr>
      <w:tr w:rsidR="002C26E2" w14:paraId="4CCC5B68" w14:textId="77777777" w:rsidTr="009D5B98">
        <w:trPr>
          <w:trHeight w:val="526"/>
        </w:trPr>
        <w:tc>
          <w:tcPr>
            <w:tcW w:w="1559" w:type="dxa"/>
            <w:tcBorders>
              <w:top w:val="single" w:sz="8" w:space="0" w:color="000000"/>
              <w:left w:val="single" w:sz="8" w:space="0" w:color="000000"/>
              <w:bottom w:val="single" w:sz="8" w:space="0" w:color="000000"/>
              <w:right w:val="single" w:sz="8" w:space="0" w:color="000000"/>
            </w:tcBorders>
          </w:tcPr>
          <w:p w14:paraId="509BE60F" w14:textId="77777777" w:rsidR="002C26E2" w:rsidRDefault="00812CB4">
            <w:pPr>
              <w:spacing w:after="0" w:line="259" w:lineRule="auto"/>
              <w:ind w:left="349" w:firstLine="0"/>
              <w:jc w:val="center"/>
            </w:pPr>
            <w:r>
              <w:rPr>
                <w:b/>
                <w:sz w:val="20"/>
              </w:rPr>
              <w:t xml:space="preserve">4 </w:t>
            </w:r>
          </w:p>
        </w:tc>
        <w:tc>
          <w:tcPr>
            <w:tcW w:w="1557" w:type="dxa"/>
            <w:tcBorders>
              <w:top w:val="single" w:sz="8" w:space="0" w:color="000000"/>
              <w:left w:val="single" w:sz="8" w:space="0" w:color="000000"/>
              <w:bottom w:val="single" w:sz="8" w:space="0" w:color="000000"/>
              <w:right w:val="single" w:sz="8" w:space="0" w:color="000000"/>
            </w:tcBorders>
          </w:tcPr>
          <w:p w14:paraId="07D5AF76" w14:textId="77777777" w:rsidR="002C26E2" w:rsidRDefault="00812CB4">
            <w:pPr>
              <w:spacing w:after="0" w:line="259" w:lineRule="auto"/>
              <w:ind w:left="541" w:firstLine="0"/>
            </w:pPr>
            <w:r>
              <w:rPr>
                <w:sz w:val="20"/>
              </w:rPr>
              <w:t xml:space="preserve">22.81% </w:t>
            </w:r>
          </w:p>
        </w:tc>
        <w:tc>
          <w:tcPr>
            <w:tcW w:w="1367" w:type="dxa"/>
            <w:tcBorders>
              <w:top w:val="single" w:sz="8" w:space="0" w:color="000000"/>
              <w:left w:val="single" w:sz="8" w:space="0" w:color="000000"/>
              <w:bottom w:val="single" w:sz="8" w:space="0" w:color="000000"/>
              <w:right w:val="single" w:sz="8" w:space="0" w:color="000000"/>
            </w:tcBorders>
          </w:tcPr>
          <w:p w14:paraId="2BB8E576" w14:textId="77777777" w:rsidR="002C26E2" w:rsidRDefault="00812CB4">
            <w:pPr>
              <w:spacing w:after="0" w:line="259" w:lineRule="auto"/>
              <w:ind w:left="0" w:right="94" w:firstLine="0"/>
              <w:jc w:val="right"/>
            </w:pPr>
            <w:r>
              <w:rPr>
                <w:sz w:val="20"/>
              </w:rPr>
              <w:t xml:space="preserve">22.63% </w:t>
            </w:r>
          </w:p>
        </w:tc>
        <w:tc>
          <w:tcPr>
            <w:tcW w:w="1365" w:type="dxa"/>
            <w:tcBorders>
              <w:top w:val="single" w:sz="8" w:space="0" w:color="000000"/>
              <w:left w:val="single" w:sz="8" w:space="0" w:color="000000"/>
              <w:bottom w:val="single" w:sz="8" w:space="0" w:color="000000"/>
              <w:right w:val="single" w:sz="8" w:space="0" w:color="000000"/>
            </w:tcBorders>
          </w:tcPr>
          <w:p w14:paraId="6F479E0E" w14:textId="77777777" w:rsidR="002C26E2" w:rsidRDefault="00812CB4">
            <w:pPr>
              <w:spacing w:after="0" w:line="259" w:lineRule="auto"/>
              <w:ind w:left="0" w:right="92" w:firstLine="0"/>
              <w:jc w:val="right"/>
            </w:pPr>
            <w:r>
              <w:rPr>
                <w:sz w:val="20"/>
              </w:rPr>
              <w:t xml:space="preserve">22.48% </w:t>
            </w:r>
          </w:p>
        </w:tc>
        <w:tc>
          <w:tcPr>
            <w:tcW w:w="1466" w:type="dxa"/>
            <w:tcBorders>
              <w:top w:val="single" w:sz="8" w:space="0" w:color="000000"/>
              <w:left w:val="single" w:sz="8" w:space="0" w:color="000000"/>
              <w:bottom w:val="single" w:sz="8" w:space="0" w:color="000000"/>
              <w:right w:val="single" w:sz="8" w:space="0" w:color="000000"/>
            </w:tcBorders>
          </w:tcPr>
          <w:p w14:paraId="29877626" w14:textId="77777777" w:rsidR="002C26E2" w:rsidRDefault="00812CB4">
            <w:pPr>
              <w:spacing w:after="0" w:line="259" w:lineRule="auto"/>
              <w:ind w:left="0" w:right="141" w:firstLine="0"/>
              <w:jc w:val="right"/>
            </w:pPr>
            <w:r>
              <w:rPr>
                <w:sz w:val="20"/>
              </w:rPr>
              <w:t xml:space="preserve">22.35% </w:t>
            </w:r>
          </w:p>
        </w:tc>
      </w:tr>
      <w:tr w:rsidR="002C26E2" w14:paraId="46F1CC03" w14:textId="77777777" w:rsidTr="009D5B98">
        <w:trPr>
          <w:trHeight w:val="526"/>
        </w:trPr>
        <w:tc>
          <w:tcPr>
            <w:tcW w:w="1559" w:type="dxa"/>
            <w:tcBorders>
              <w:top w:val="single" w:sz="8" w:space="0" w:color="000000"/>
              <w:left w:val="single" w:sz="8" w:space="0" w:color="000000"/>
              <w:bottom w:val="single" w:sz="8" w:space="0" w:color="000000"/>
              <w:right w:val="single" w:sz="8" w:space="0" w:color="000000"/>
            </w:tcBorders>
          </w:tcPr>
          <w:p w14:paraId="56DB892F" w14:textId="77777777" w:rsidR="002C26E2" w:rsidRDefault="00812CB4">
            <w:pPr>
              <w:spacing w:after="0" w:line="259" w:lineRule="auto"/>
              <w:ind w:left="349" w:firstLine="0"/>
              <w:jc w:val="center"/>
            </w:pPr>
            <w:r>
              <w:rPr>
                <w:b/>
                <w:sz w:val="20"/>
              </w:rPr>
              <w:t xml:space="preserve">5 </w:t>
            </w:r>
          </w:p>
        </w:tc>
        <w:tc>
          <w:tcPr>
            <w:tcW w:w="1557" w:type="dxa"/>
            <w:tcBorders>
              <w:top w:val="single" w:sz="8" w:space="0" w:color="000000"/>
              <w:left w:val="single" w:sz="8" w:space="0" w:color="000000"/>
              <w:bottom w:val="single" w:sz="8" w:space="0" w:color="000000"/>
              <w:right w:val="single" w:sz="8" w:space="0" w:color="000000"/>
            </w:tcBorders>
          </w:tcPr>
          <w:p w14:paraId="3F2AB933" w14:textId="77777777" w:rsidR="002C26E2" w:rsidRDefault="00812CB4">
            <w:pPr>
              <w:spacing w:after="0" w:line="259" w:lineRule="auto"/>
              <w:ind w:left="541" w:firstLine="0"/>
            </w:pPr>
            <w:r>
              <w:rPr>
                <w:sz w:val="20"/>
              </w:rPr>
              <w:t xml:space="preserve">22.80% </w:t>
            </w:r>
          </w:p>
        </w:tc>
        <w:tc>
          <w:tcPr>
            <w:tcW w:w="1367" w:type="dxa"/>
            <w:tcBorders>
              <w:top w:val="single" w:sz="8" w:space="0" w:color="000000"/>
              <w:left w:val="single" w:sz="8" w:space="0" w:color="000000"/>
              <w:bottom w:val="single" w:sz="8" w:space="0" w:color="000000"/>
              <w:right w:val="single" w:sz="8" w:space="0" w:color="000000"/>
            </w:tcBorders>
          </w:tcPr>
          <w:p w14:paraId="650FAD4C" w14:textId="77777777" w:rsidR="002C26E2" w:rsidRDefault="00812CB4">
            <w:pPr>
              <w:spacing w:after="0" w:line="259" w:lineRule="auto"/>
              <w:ind w:left="0" w:right="94" w:firstLine="0"/>
              <w:jc w:val="right"/>
            </w:pPr>
            <w:r>
              <w:rPr>
                <w:sz w:val="20"/>
              </w:rPr>
              <w:t xml:space="preserve">22.62% </w:t>
            </w:r>
          </w:p>
        </w:tc>
        <w:tc>
          <w:tcPr>
            <w:tcW w:w="1365" w:type="dxa"/>
            <w:tcBorders>
              <w:top w:val="single" w:sz="8" w:space="0" w:color="000000"/>
              <w:left w:val="single" w:sz="8" w:space="0" w:color="000000"/>
              <w:bottom w:val="single" w:sz="8" w:space="0" w:color="000000"/>
              <w:right w:val="single" w:sz="8" w:space="0" w:color="000000"/>
            </w:tcBorders>
          </w:tcPr>
          <w:p w14:paraId="2578194C" w14:textId="77777777" w:rsidR="002C26E2" w:rsidRDefault="00812CB4">
            <w:pPr>
              <w:spacing w:after="0" w:line="259" w:lineRule="auto"/>
              <w:ind w:left="0" w:right="92" w:firstLine="0"/>
              <w:jc w:val="right"/>
            </w:pPr>
            <w:r>
              <w:rPr>
                <w:sz w:val="20"/>
              </w:rPr>
              <w:t xml:space="preserve">22.47% </w:t>
            </w:r>
          </w:p>
        </w:tc>
        <w:tc>
          <w:tcPr>
            <w:tcW w:w="1466" w:type="dxa"/>
            <w:tcBorders>
              <w:top w:val="single" w:sz="8" w:space="0" w:color="000000"/>
              <w:left w:val="single" w:sz="8" w:space="0" w:color="000000"/>
              <w:bottom w:val="single" w:sz="8" w:space="0" w:color="000000"/>
              <w:right w:val="single" w:sz="8" w:space="0" w:color="000000"/>
            </w:tcBorders>
          </w:tcPr>
          <w:p w14:paraId="0B6F468A" w14:textId="77777777" w:rsidR="002C26E2" w:rsidRDefault="00812CB4">
            <w:pPr>
              <w:spacing w:after="0" w:line="259" w:lineRule="auto"/>
              <w:ind w:left="0" w:right="141" w:firstLine="0"/>
              <w:jc w:val="right"/>
            </w:pPr>
            <w:r>
              <w:rPr>
                <w:sz w:val="20"/>
              </w:rPr>
              <w:t xml:space="preserve">22.34% </w:t>
            </w:r>
          </w:p>
        </w:tc>
      </w:tr>
      <w:tr w:rsidR="002C26E2" w14:paraId="2A49E703" w14:textId="77777777" w:rsidTr="009D5B98">
        <w:trPr>
          <w:trHeight w:val="526"/>
        </w:trPr>
        <w:tc>
          <w:tcPr>
            <w:tcW w:w="1559" w:type="dxa"/>
            <w:tcBorders>
              <w:top w:val="single" w:sz="8" w:space="0" w:color="000000"/>
              <w:left w:val="single" w:sz="8" w:space="0" w:color="000000"/>
              <w:bottom w:val="single" w:sz="8" w:space="0" w:color="000000"/>
              <w:right w:val="single" w:sz="8" w:space="0" w:color="000000"/>
            </w:tcBorders>
          </w:tcPr>
          <w:p w14:paraId="452C6B8D" w14:textId="77777777" w:rsidR="002C26E2" w:rsidRDefault="00812CB4">
            <w:pPr>
              <w:spacing w:after="0" w:line="259" w:lineRule="auto"/>
              <w:ind w:left="0" w:right="144" w:firstLine="0"/>
              <w:jc w:val="center"/>
            </w:pPr>
            <w:r>
              <w:rPr>
                <w:b/>
                <w:sz w:val="20"/>
              </w:rPr>
              <w:t xml:space="preserve">Maximum  </w:t>
            </w:r>
          </w:p>
        </w:tc>
        <w:tc>
          <w:tcPr>
            <w:tcW w:w="1557" w:type="dxa"/>
            <w:tcBorders>
              <w:top w:val="single" w:sz="8" w:space="0" w:color="000000"/>
              <w:left w:val="single" w:sz="8" w:space="0" w:color="000000"/>
              <w:bottom w:val="single" w:sz="8" w:space="0" w:color="000000"/>
              <w:right w:val="single" w:sz="8" w:space="0" w:color="000000"/>
            </w:tcBorders>
          </w:tcPr>
          <w:p w14:paraId="5426DF9B" w14:textId="77777777" w:rsidR="002C26E2" w:rsidRDefault="00812CB4">
            <w:pPr>
              <w:spacing w:after="0" w:line="259" w:lineRule="auto"/>
              <w:ind w:left="541" w:firstLine="0"/>
            </w:pPr>
            <w:r>
              <w:rPr>
                <w:sz w:val="20"/>
              </w:rPr>
              <w:t xml:space="preserve">22.78% </w:t>
            </w:r>
          </w:p>
        </w:tc>
        <w:tc>
          <w:tcPr>
            <w:tcW w:w="1367" w:type="dxa"/>
            <w:tcBorders>
              <w:top w:val="single" w:sz="8" w:space="0" w:color="000000"/>
              <w:left w:val="single" w:sz="8" w:space="0" w:color="000000"/>
              <w:bottom w:val="single" w:sz="8" w:space="0" w:color="000000"/>
              <w:right w:val="single" w:sz="8" w:space="0" w:color="000000"/>
            </w:tcBorders>
          </w:tcPr>
          <w:p w14:paraId="725D1FE9" w14:textId="77777777" w:rsidR="002C26E2" w:rsidRDefault="00812CB4">
            <w:pPr>
              <w:spacing w:after="0" w:line="259" w:lineRule="auto"/>
              <w:ind w:left="0" w:right="94" w:firstLine="0"/>
              <w:jc w:val="right"/>
            </w:pPr>
            <w:r>
              <w:rPr>
                <w:sz w:val="20"/>
              </w:rPr>
              <w:t xml:space="preserve">22.61% </w:t>
            </w:r>
          </w:p>
        </w:tc>
        <w:tc>
          <w:tcPr>
            <w:tcW w:w="1365" w:type="dxa"/>
            <w:tcBorders>
              <w:top w:val="single" w:sz="8" w:space="0" w:color="000000"/>
              <w:left w:val="single" w:sz="8" w:space="0" w:color="000000"/>
              <w:bottom w:val="single" w:sz="8" w:space="0" w:color="000000"/>
              <w:right w:val="single" w:sz="8" w:space="0" w:color="000000"/>
            </w:tcBorders>
          </w:tcPr>
          <w:p w14:paraId="799E2F58" w14:textId="77777777" w:rsidR="002C26E2" w:rsidRDefault="00812CB4">
            <w:pPr>
              <w:spacing w:after="0" w:line="259" w:lineRule="auto"/>
              <w:ind w:left="0" w:right="92" w:firstLine="0"/>
              <w:jc w:val="right"/>
            </w:pPr>
            <w:r>
              <w:rPr>
                <w:sz w:val="20"/>
              </w:rPr>
              <w:t xml:space="preserve">22.46% </w:t>
            </w:r>
          </w:p>
        </w:tc>
        <w:tc>
          <w:tcPr>
            <w:tcW w:w="1466" w:type="dxa"/>
            <w:tcBorders>
              <w:top w:val="single" w:sz="8" w:space="0" w:color="000000"/>
              <w:left w:val="single" w:sz="8" w:space="0" w:color="000000"/>
              <w:bottom w:val="single" w:sz="8" w:space="0" w:color="000000"/>
              <w:right w:val="single" w:sz="8" w:space="0" w:color="000000"/>
            </w:tcBorders>
          </w:tcPr>
          <w:p w14:paraId="448B2CFE" w14:textId="77777777" w:rsidR="002C26E2" w:rsidRDefault="00812CB4">
            <w:pPr>
              <w:spacing w:after="0" w:line="259" w:lineRule="auto"/>
              <w:ind w:left="0" w:right="141" w:firstLine="0"/>
              <w:jc w:val="right"/>
            </w:pPr>
            <w:r>
              <w:rPr>
                <w:sz w:val="20"/>
              </w:rPr>
              <w:t xml:space="preserve">22.33% </w:t>
            </w:r>
          </w:p>
        </w:tc>
      </w:tr>
    </w:tbl>
    <w:p w14:paraId="703036A7" w14:textId="6A2583C8" w:rsidR="002C26E2" w:rsidRDefault="002C26E2" w:rsidP="00554D9A">
      <w:pPr>
        <w:spacing w:after="120" w:line="259" w:lineRule="auto"/>
        <w:ind w:left="12" w:firstLine="0"/>
      </w:pPr>
    </w:p>
    <w:p w14:paraId="04AD9956" w14:textId="77777777" w:rsidR="002C26E2" w:rsidRDefault="00812CB4">
      <w:pPr>
        <w:spacing w:after="152"/>
        <w:ind w:left="7" w:right="225"/>
      </w:pPr>
      <w:r>
        <w:t xml:space="preserve">Taking the average salary increase across all Senior Civil Service grades and scales, this is calculated as 22.57%, over the 10-year period detailed above.  </w:t>
      </w:r>
    </w:p>
    <w:p w14:paraId="12E024AE" w14:textId="77777777" w:rsidR="002C26E2" w:rsidRDefault="00812CB4">
      <w:pPr>
        <w:spacing w:line="259" w:lineRule="auto"/>
        <w:ind w:left="7" w:right="225"/>
      </w:pPr>
      <w:r>
        <w:t xml:space="preserve">These uplifts reflect: </w:t>
      </w:r>
    </w:p>
    <w:p w14:paraId="3BEBCFAC" w14:textId="77777777" w:rsidR="002C26E2" w:rsidRDefault="00812CB4">
      <w:pPr>
        <w:numPr>
          <w:ilvl w:val="0"/>
          <w:numId w:val="26"/>
        </w:numPr>
        <w:spacing w:after="120" w:line="259" w:lineRule="auto"/>
        <w:ind w:right="225" w:hanging="360"/>
      </w:pPr>
      <w:r>
        <w:t xml:space="preserve">Multi-year pay restraint </w:t>
      </w:r>
    </w:p>
    <w:p w14:paraId="608AD69E" w14:textId="77777777" w:rsidR="002C26E2" w:rsidRDefault="00812CB4">
      <w:pPr>
        <w:numPr>
          <w:ilvl w:val="0"/>
          <w:numId w:val="26"/>
        </w:numPr>
        <w:spacing w:after="116" w:line="259" w:lineRule="auto"/>
        <w:ind w:right="225" w:hanging="360"/>
      </w:pPr>
      <w:r>
        <w:t xml:space="preserve">Centralised control </w:t>
      </w:r>
    </w:p>
    <w:p w14:paraId="49586322" w14:textId="77777777" w:rsidR="002C26E2" w:rsidRDefault="00812CB4">
      <w:pPr>
        <w:numPr>
          <w:ilvl w:val="0"/>
          <w:numId w:val="26"/>
        </w:numPr>
        <w:spacing w:after="396" w:line="259" w:lineRule="auto"/>
        <w:ind w:right="225" w:hanging="360"/>
      </w:pPr>
      <w:r>
        <w:t xml:space="preserve">Public sector affordability considerations </w:t>
      </w:r>
    </w:p>
    <w:p w14:paraId="5EDFF33B" w14:textId="77777777" w:rsidR="002C26E2" w:rsidRDefault="00812CB4">
      <w:pPr>
        <w:spacing w:after="349" w:line="265" w:lineRule="auto"/>
        <w:ind w:left="7"/>
      </w:pPr>
      <w:r>
        <w:rPr>
          <w:u w:val="single" w:color="000000"/>
        </w:rPr>
        <w:t>NI Judiciary</w:t>
      </w:r>
      <w:r>
        <w:t xml:space="preserve"> </w:t>
      </w:r>
    </w:p>
    <w:p w14:paraId="4C363EB2" w14:textId="0467C4BA" w:rsidR="002C26E2" w:rsidRDefault="00812CB4" w:rsidP="00554D9A">
      <w:pPr>
        <w:spacing w:after="0"/>
        <w:ind w:left="7" w:right="225"/>
      </w:pPr>
      <w:r>
        <w:t>Looking at the NI Judiciary, which we consider to be a relevant comparator for the purposes</w:t>
      </w:r>
      <w:r w:rsidR="00554D9A">
        <w:t xml:space="preserve"> </w:t>
      </w:r>
      <w:r>
        <w:t xml:space="preserve">of this review, the following table of salaries applies: </w:t>
      </w:r>
    </w:p>
    <w:tbl>
      <w:tblPr>
        <w:tblStyle w:val="TableGrid"/>
        <w:tblW w:w="9067" w:type="dxa"/>
        <w:tblInd w:w="18" w:type="dxa"/>
        <w:tblCellMar>
          <w:top w:w="46" w:type="dxa"/>
          <w:left w:w="107" w:type="dxa"/>
          <w:bottom w:w="0" w:type="dxa"/>
          <w:right w:w="51" w:type="dxa"/>
        </w:tblCellMar>
        <w:tblLook w:val="04A0" w:firstRow="1" w:lastRow="0" w:firstColumn="1" w:lastColumn="0" w:noHBand="0" w:noVBand="1"/>
      </w:tblPr>
      <w:tblGrid>
        <w:gridCol w:w="3682"/>
        <w:gridCol w:w="1276"/>
        <w:gridCol w:w="1276"/>
        <w:gridCol w:w="1418"/>
        <w:gridCol w:w="1415"/>
      </w:tblGrid>
      <w:tr w:rsidR="002C26E2" w14:paraId="4749ED18" w14:textId="77777777">
        <w:trPr>
          <w:trHeight w:val="514"/>
        </w:trPr>
        <w:tc>
          <w:tcPr>
            <w:tcW w:w="3681" w:type="dxa"/>
            <w:tcBorders>
              <w:top w:val="single" w:sz="4" w:space="0" w:color="000000"/>
              <w:left w:val="single" w:sz="4" w:space="0" w:color="000000"/>
              <w:bottom w:val="single" w:sz="4" w:space="0" w:color="000000"/>
              <w:right w:val="single" w:sz="4" w:space="0" w:color="000000"/>
            </w:tcBorders>
            <w:shd w:val="clear" w:color="auto" w:fill="424996"/>
          </w:tcPr>
          <w:p w14:paraId="58100CBA" w14:textId="77777777" w:rsidR="002C26E2" w:rsidRDefault="00812CB4">
            <w:pPr>
              <w:spacing w:after="0" w:line="259" w:lineRule="auto"/>
              <w:ind w:left="0" w:firstLine="0"/>
            </w:pPr>
            <w:r>
              <w:rPr>
                <w:b/>
                <w:color w:val="FFFFFF"/>
                <w:sz w:val="20"/>
              </w:rPr>
              <w:t xml:space="preserve">Position </w:t>
            </w:r>
          </w:p>
        </w:tc>
        <w:tc>
          <w:tcPr>
            <w:tcW w:w="1276" w:type="dxa"/>
            <w:tcBorders>
              <w:top w:val="single" w:sz="4" w:space="0" w:color="000000"/>
              <w:left w:val="single" w:sz="4" w:space="0" w:color="000000"/>
              <w:bottom w:val="single" w:sz="4" w:space="0" w:color="000000"/>
              <w:right w:val="single" w:sz="4" w:space="0" w:color="000000"/>
            </w:tcBorders>
            <w:shd w:val="clear" w:color="auto" w:fill="424996"/>
          </w:tcPr>
          <w:p w14:paraId="7AC52225" w14:textId="77777777" w:rsidR="002C26E2" w:rsidRDefault="00812CB4">
            <w:pPr>
              <w:spacing w:after="0" w:line="259" w:lineRule="auto"/>
              <w:ind w:left="61" w:firstLine="0"/>
            </w:pPr>
            <w:r>
              <w:rPr>
                <w:b/>
                <w:color w:val="FFFFFF"/>
                <w:sz w:val="20"/>
              </w:rPr>
              <w:t xml:space="preserve">01/04/2016 </w:t>
            </w:r>
          </w:p>
        </w:tc>
        <w:tc>
          <w:tcPr>
            <w:tcW w:w="1276" w:type="dxa"/>
            <w:tcBorders>
              <w:top w:val="single" w:sz="4" w:space="0" w:color="000000"/>
              <w:left w:val="single" w:sz="4" w:space="0" w:color="000000"/>
              <w:bottom w:val="single" w:sz="4" w:space="0" w:color="000000"/>
              <w:right w:val="single" w:sz="4" w:space="0" w:color="000000"/>
            </w:tcBorders>
            <w:shd w:val="clear" w:color="auto" w:fill="424996"/>
          </w:tcPr>
          <w:p w14:paraId="77BBD8D4" w14:textId="77777777" w:rsidR="002C26E2" w:rsidRDefault="00812CB4">
            <w:pPr>
              <w:spacing w:after="0" w:line="259" w:lineRule="auto"/>
              <w:ind w:left="60" w:firstLine="0"/>
            </w:pPr>
            <w:r>
              <w:rPr>
                <w:b/>
                <w:color w:val="FFFFFF"/>
                <w:sz w:val="20"/>
              </w:rPr>
              <w:t xml:space="preserve">01/04/2025 </w:t>
            </w:r>
          </w:p>
        </w:tc>
        <w:tc>
          <w:tcPr>
            <w:tcW w:w="1418" w:type="dxa"/>
            <w:tcBorders>
              <w:top w:val="single" w:sz="4" w:space="0" w:color="000000"/>
              <w:left w:val="single" w:sz="4" w:space="0" w:color="000000"/>
              <w:bottom w:val="single" w:sz="4" w:space="0" w:color="000000"/>
              <w:right w:val="single" w:sz="4" w:space="0" w:color="000000"/>
            </w:tcBorders>
            <w:shd w:val="clear" w:color="auto" w:fill="424996"/>
          </w:tcPr>
          <w:p w14:paraId="7C7A32BA" w14:textId="77777777" w:rsidR="002C26E2" w:rsidRDefault="00812CB4">
            <w:pPr>
              <w:spacing w:after="0" w:line="259" w:lineRule="auto"/>
              <w:ind w:left="1" w:firstLine="0"/>
            </w:pPr>
            <w:r>
              <w:rPr>
                <w:b/>
                <w:color w:val="FFFFFF"/>
                <w:sz w:val="20"/>
              </w:rPr>
              <w:t xml:space="preserve">Increase (£) </w:t>
            </w:r>
          </w:p>
        </w:tc>
        <w:tc>
          <w:tcPr>
            <w:tcW w:w="1415" w:type="dxa"/>
            <w:tcBorders>
              <w:top w:val="single" w:sz="4" w:space="0" w:color="000000"/>
              <w:left w:val="single" w:sz="4" w:space="0" w:color="000000"/>
              <w:bottom w:val="single" w:sz="4" w:space="0" w:color="000000"/>
              <w:right w:val="single" w:sz="4" w:space="0" w:color="000000"/>
            </w:tcBorders>
            <w:shd w:val="clear" w:color="auto" w:fill="424996"/>
          </w:tcPr>
          <w:p w14:paraId="76F8F131" w14:textId="77777777" w:rsidR="002C26E2" w:rsidRDefault="00812CB4">
            <w:pPr>
              <w:spacing w:after="0" w:line="259" w:lineRule="auto"/>
              <w:ind w:left="1" w:firstLine="0"/>
            </w:pPr>
            <w:r>
              <w:rPr>
                <w:b/>
                <w:color w:val="FFFFFF"/>
                <w:sz w:val="20"/>
              </w:rPr>
              <w:t xml:space="preserve">Increase (%) </w:t>
            </w:r>
          </w:p>
        </w:tc>
      </w:tr>
      <w:tr w:rsidR="002C26E2" w14:paraId="2D602957" w14:textId="77777777">
        <w:trPr>
          <w:trHeight w:val="515"/>
        </w:trPr>
        <w:tc>
          <w:tcPr>
            <w:tcW w:w="3681" w:type="dxa"/>
            <w:tcBorders>
              <w:top w:val="single" w:sz="4" w:space="0" w:color="000000"/>
              <w:left w:val="single" w:sz="4" w:space="0" w:color="000000"/>
              <w:bottom w:val="single" w:sz="4" w:space="0" w:color="000000"/>
              <w:right w:val="single" w:sz="4" w:space="0" w:color="000000"/>
            </w:tcBorders>
          </w:tcPr>
          <w:p w14:paraId="7A199B24" w14:textId="77777777" w:rsidR="002C26E2" w:rsidRDefault="00812CB4">
            <w:pPr>
              <w:spacing w:after="0" w:line="259" w:lineRule="auto"/>
              <w:ind w:left="0" w:firstLine="0"/>
            </w:pPr>
            <w:r>
              <w:rPr>
                <w:sz w:val="20"/>
              </w:rPr>
              <w:t xml:space="preserve">Lord/Lady Chief Justice (NI) </w:t>
            </w:r>
          </w:p>
        </w:tc>
        <w:tc>
          <w:tcPr>
            <w:tcW w:w="1276" w:type="dxa"/>
            <w:tcBorders>
              <w:top w:val="single" w:sz="4" w:space="0" w:color="000000"/>
              <w:left w:val="single" w:sz="4" w:space="0" w:color="000000"/>
              <w:bottom w:val="single" w:sz="4" w:space="0" w:color="000000"/>
              <w:right w:val="single" w:sz="4" w:space="0" w:color="000000"/>
            </w:tcBorders>
          </w:tcPr>
          <w:p w14:paraId="4361A3B9" w14:textId="77777777" w:rsidR="002C26E2" w:rsidRDefault="00812CB4">
            <w:pPr>
              <w:spacing w:after="0" w:line="259" w:lineRule="auto"/>
              <w:ind w:left="0" w:right="58" w:firstLine="0"/>
              <w:jc w:val="right"/>
            </w:pPr>
            <w:r>
              <w:rPr>
                <w:sz w:val="20"/>
              </w:rPr>
              <w:t xml:space="preserve">£222,862 </w:t>
            </w:r>
          </w:p>
        </w:tc>
        <w:tc>
          <w:tcPr>
            <w:tcW w:w="1276" w:type="dxa"/>
            <w:tcBorders>
              <w:top w:val="single" w:sz="4" w:space="0" w:color="000000"/>
              <w:left w:val="single" w:sz="4" w:space="0" w:color="000000"/>
              <w:bottom w:val="single" w:sz="4" w:space="0" w:color="000000"/>
              <w:right w:val="single" w:sz="4" w:space="0" w:color="000000"/>
            </w:tcBorders>
          </w:tcPr>
          <w:p w14:paraId="13D2BC90" w14:textId="77777777" w:rsidR="002C26E2" w:rsidRDefault="00812CB4">
            <w:pPr>
              <w:spacing w:after="0" w:line="259" w:lineRule="auto"/>
              <w:ind w:left="0" w:right="60" w:firstLine="0"/>
              <w:jc w:val="right"/>
            </w:pPr>
            <w:r>
              <w:rPr>
                <w:sz w:val="20"/>
              </w:rPr>
              <w:t xml:space="preserve">£290,213 </w:t>
            </w:r>
          </w:p>
        </w:tc>
        <w:tc>
          <w:tcPr>
            <w:tcW w:w="1418" w:type="dxa"/>
            <w:tcBorders>
              <w:top w:val="single" w:sz="4" w:space="0" w:color="000000"/>
              <w:left w:val="single" w:sz="4" w:space="0" w:color="000000"/>
              <w:bottom w:val="single" w:sz="4" w:space="0" w:color="000000"/>
              <w:right w:val="single" w:sz="4" w:space="0" w:color="000000"/>
            </w:tcBorders>
          </w:tcPr>
          <w:p w14:paraId="16989750" w14:textId="77777777" w:rsidR="002C26E2" w:rsidRDefault="00812CB4">
            <w:pPr>
              <w:spacing w:after="0" w:line="259" w:lineRule="auto"/>
              <w:ind w:left="0" w:right="59" w:firstLine="0"/>
              <w:jc w:val="right"/>
            </w:pPr>
            <w:r>
              <w:rPr>
                <w:sz w:val="20"/>
              </w:rPr>
              <w:t xml:space="preserve">£67,351 </w:t>
            </w:r>
          </w:p>
        </w:tc>
        <w:tc>
          <w:tcPr>
            <w:tcW w:w="1415" w:type="dxa"/>
            <w:tcBorders>
              <w:top w:val="single" w:sz="4" w:space="0" w:color="000000"/>
              <w:left w:val="single" w:sz="4" w:space="0" w:color="000000"/>
              <w:bottom w:val="single" w:sz="4" w:space="0" w:color="000000"/>
              <w:right w:val="single" w:sz="4" w:space="0" w:color="000000"/>
            </w:tcBorders>
          </w:tcPr>
          <w:p w14:paraId="76F197F9" w14:textId="77777777" w:rsidR="002C26E2" w:rsidRDefault="00812CB4">
            <w:pPr>
              <w:spacing w:after="0" w:line="259" w:lineRule="auto"/>
              <w:ind w:left="0" w:right="58" w:firstLine="0"/>
              <w:jc w:val="right"/>
            </w:pPr>
            <w:r>
              <w:rPr>
                <w:sz w:val="20"/>
              </w:rPr>
              <w:t xml:space="preserve">30.2% </w:t>
            </w:r>
          </w:p>
        </w:tc>
      </w:tr>
      <w:tr w:rsidR="002C26E2" w14:paraId="1F40C0DB"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5D1EA813" w14:textId="77777777" w:rsidR="002C26E2" w:rsidRDefault="00812CB4">
            <w:pPr>
              <w:spacing w:after="0" w:line="259" w:lineRule="auto"/>
              <w:ind w:left="0" w:firstLine="0"/>
            </w:pPr>
            <w:r>
              <w:rPr>
                <w:sz w:val="20"/>
              </w:rPr>
              <w:t xml:space="preserve">Lord/Lady Justices of Appeal (NI) </w:t>
            </w:r>
          </w:p>
        </w:tc>
        <w:tc>
          <w:tcPr>
            <w:tcW w:w="1276" w:type="dxa"/>
            <w:tcBorders>
              <w:top w:val="single" w:sz="4" w:space="0" w:color="000000"/>
              <w:left w:val="single" w:sz="4" w:space="0" w:color="000000"/>
              <w:bottom w:val="single" w:sz="4" w:space="0" w:color="000000"/>
              <w:right w:val="single" w:sz="4" w:space="0" w:color="000000"/>
            </w:tcBorders>
          </w:tcPr>
          <w:p w14:paraId="7C22C6F4" w14:textId="77777777" w:rsidR="002C26E2" w:rsidRDefault="00812CB4">
            <w:pPr>
              <w:spacing w:after="0" w:line="259" w:lineRule="auto"/>
              <w:ind w:left="0" w:right="58" w:firstLine="0"/>
              <w:jc w:val="right"/>
            </w:pPr>
            <w:r>
              <w:rPr>
                <w:sz w:val="20"/>
              </w:rPr>
              <w:t xml:space="preserve">£204,695 </w:t>
            </w:r>
          </w:p>
        </w:tc>
        <w:tc>
          <w:tcPr>
            <w:tcW w:w="1276" w:type="dxa"/>
            <w:tcBorders>
              <w:top w:val="single" w:sz="4" w:space="0" w:color="000000"/>
              <w:left w:val="single" w:sz="4" w:space="0" w:color="000000"/>
              <w:bottom w:val="single" w:sz="4" w:space="0" w:color="000000"/>
              <w:right w:val="single" w:sz="4" w:space="0" w:color="000000"/>
            </w:tcBorders>
          </w:tcPr>
          <w:p w14:paraId="5D37679D" w14:textId="77777777" w:rsidR="002C26E2" w:rsidRDefault="00812CB4">
            <w:pPr>
              <w:spacing w:after="0" w:line="259" w:lineRule="auto"/>
              <w:ind w:left="0" w:right="60" w:firstLine="0"/>
              <w:jc w:val="right"/>
            </w:pPr>
            <w:r>
              <w:rPr>
                <w:sz w:val="20"/>
              </w:rPr>
              <w:t xml:space="preserve">£266,556 </w:t>
            </w:r>
          </w:p>
        </w:tc>
        <w:tc>
          <w:tcPr>
            <w:tcW w:w="1418" w:type="dxa"/>
            <w:tcBorders>
              <w:top w:val="single" w:sz="4" w:space="0" w:color="000000"/>
              <w:left w:val="single" w:sz="4" w:space="0" w:color="000000"/>
              <w:bottom w:val="single" w:sz="4" w:space="0" w:color="000000"/>
              <w:right w:val="single" w:sz="4" w:space="0" w:color="000000"/>
            </w:tcBorders>
          </w:tcPr>
          <w:p w14:paraId="318EDE4F" w14:textId="77777777" w:rsidR="002C26E2" w:rsidRDefault="00812CB4">
            <w:pPr>
              <w:spacing w:after="0" w:line="259" w:lineRule="auto"/>
              <w:ind w:left="0" w:right="59" w:firstLine="0"/>
              <w:jc w:val="right"/>
            </w:pPr>
            <w:r>
              <w:rPr>
                <w:sz w:val="20"/>
              </w:rPr>
              <w:t xml:space="preserve">£61,861 </w:t>
            </w:r>
          </w:p>
        </w:tc>
        <w:tc>
          <w:tcPr>
            <w:tcW w:w="1415" w:type="dxa"/>
            <w:tcBorders>
              <w:top w:val="single" w:sz="4" w:space="0" w:color="000000"/>
              <w:left w:val="single" w:sz="4" w:space="0" w:color="000000"/>
              <w:bottom w:val="single" w:sz="4" w:space="0" w:color="000000"/>
              <w:right w:val="single" w:sz="4" w:space="0" w:color="000000"/>
            </w:tcBorders>
          </w:tcPr>
          <w:p w14:paraId="50F3423B" w14:textId="77777777" w:rsidR="002C26E2" w:rsidRDefault="00812CB4">
            <w:pPr>
              <w:spacing w:after="0" w:line="259" w:lineRule="auto"/>
              <w:ind w:left="0" w:right="58" w:firstLine="0"/>
              <w:jc w:val="right"/>
            </w:pPr>
            <w:r>
              <w:rPr>
                <w:sz w:val="20"/>
              </w:rPr>
              <w:t xml:space="preserve">30.2% </w:t>
            </w:r>
          </w:p>
        </w:tc>
      </w:tr>
      <w:tr w:rsidR="002C26E2" w14:paraId="7F02CE90"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123348DC" w14:textId="77777777" w:rsidR="002C26E2" w:rsidRDefault="00812CB4">
            <w:pPr>
              <w:spacing w:after="0" w:line="259" w:lineRule="auto"/>
              <w:ind w:left="0" w:firstLine="0"/>
            </w:pPr>
            <w:r>
              <w:rPr>
                <w:sz w:val="20"/>
              </w:rPr>
              <w:t xml:space="preserve">Puisne Judge of the High Court (NI) </w:t>
            </w:r>
          </w:p>
        </w:tc>
        <w:tc>
          <w:tcPr>
            <w:tcW w:w="1276" w:type="dxa"/>
            <w:tcBorders>
              <w:top w:val="single" w:sz="4" w:space="0" w:color="000000"/>
              <w:left w:val="single" w:sz="4" w:space="0" w:color="000000"/>
              <w:bottom w:val="single" w:sz="4" w:space="0" w:color="000000"/>
              <w:right w:val="single" w:sz="4" w:space="0" w:color="000000"/>
            </w:tcBorders>
          </w:tcPr>
          <w:p w14:paraId="547ED558" w14:textId="77777777" w:rsidR="002C26E2" w:rsidRDefault="00812CB4">
            <w:pPr>
              <w:spacing w:after="0" w:line="259" w:lineRule="auto"/>
              <w:ind w:left="0" w:right="58" w:firstLine="0"/>
              <w:jc w:val="right"/>
            </w:pPr>
            <w:r>
              <w:rPr>
                <w:sz w:val="20"/>
              </w:rPr>
              <w:t xml:space="preserve">£179,768 </w:t>
            </w:r>
          </w:p>
        </w:tc>
        <w:tc>
          <w:tcPr>
            <w:tcW w:w="1276" w:type="dxa"/>
            <w:tcBorders>
              <w:top w:val="single" w:sz="4" w:space="0" w:color="000000"/>
              <w:left w:val="single" w:sz="4" w:space="0" w:color="000000"/>
              <w:bottom w:val="single" w:sz="4" w:space="0" w:color="000000"/>
              <w:right w:val="single" w:sz="4" w:space="0" w:color="000000"/>
            </w:tcBorders>
          </w:tcPr>
          <w:p w14:paraId="20CB7E5E" w14:textId="77777777" w:rsidR="002C26E2" w:rsidRDefault="00812CB4">
            <w:pPr>
              <w:spacing w:after="0" w:line="259" w:lineRule="auto"/>
              <w:ind w:left="0" w:right="60" w:firstLine="0"/>
              <w:jc w:val="right"/>
            </w:pPr>
            <w:r>
              <w:rPr>
                <w:sz w:val="20"/>
              </w:rPr>
              <w:t xml:space="preserve">£234,096 </w:t>
            </w:r>
          </w:p>
        </w:tc>
        <w:tc>
          <w:tcPr>
            <w:tcW w:w="1418" w:type="dxa"/>
            <w:tcBorders>
              <w:top w:val="single" w:sz="4" w:space="0" w:color="000000"/>
              <w:left w:val="single" w:sz="4" w:space="0" w:color="000000"/>
              <w:bottom w:val="single" w:sz="4" w:space="0" w:color="000000"/>
              <w:right w:val="single" w:sz="4" w:space="0" w:color="000000"/>
            </w:tcBorders>
          </w:tcPr>
          <w:p w14:paraId="39BB971E" w14:textId="77777777" w:rsidR="002C26E2" w:rsidRDefault="00812CB4">
            <w:pPr>
              <w:spacing w:after="0" w:line="259" w:lineRule="auto"/>
              <w:ind w:left="0" w:right="59" w:firstLine="0"/>
              <w:jc w:val="right"/>
            </w:pPr>
            <w:r>
              <w:rPr>
                <w:sz w:val="20"/>
              </w:rPr>
              <w:t xml:space="preserve">£54,328 </w:t>
            </w:r>
          </w:p>
        </w:tc>
        <w:tc>
          <w:tcPr>
            <w:tcW w:w="1415" w:type="dxa"/>
            <w:tcBorders>
              <w:top w:val="single" w:sz="4" w:space="0" w:color="000000"/>
              <w:left w:val="single" w:sz="4" w:space="0" w:color="000000"/>
              <w:bottom w:val="single" w:sz="4" w:space="0" w:color="000000"/>
              <w:right w:val="single" w:sz="4" w:space="0" w:color="000000"/>
            </w:tcBorders>
          </w:tcPr>
          <w:p w14:paraId="6CA131DD" w14:textId="77777777" w:rsidR="002C26E2" w:rsidRDefault="00812CB4">
            <w:pPr>
              <w:spacing w:after="0" w:line="259" w:lineRule="auto"/>
              <w:ind w:left="0" w:right="58" w:firstLine="0"/>
              <w:jc w:val="right"/>
            </w:pPr>
            <w:r>
              <w:rPr>
                <w:sz w:val="20"/>
              </w:rPr>
              <w:t xml:space="preserve">30.2% </w:t>
            </w:r>
          </w:p>
        </w:tc>
      </w:tr>
      <w:tr w:rsidR="002C26E2" w14:paraId="20200D1D" w14:textId="77777777">
        <w:trPr>
          <w:trHeight w:val="514"/>
        </w:trPr>
        <w:tc>
          <w:tcPr>
            <w:tcW w:w="3681" w:type="dxa"/>
            <w:tcBorders>
              <w:top w:val="single" w:sz="4" w:space="0" w:color="000000"/>
              <w:left w:val="single" w:sz="4" w:space="0" w:color="000000"/>
              <w:bottom w:val="single" w:sz="4" w:space="0" w:color="000000"/>
              <w:right w:val="single" w:sz="4" w:space="0" w:color="000000"/>
            </w:tcBorders>
          </w:tcPr>
          <w:p w14:paraId="29BB5E14" w14:textId="77777777" w:rsidR="002C26E2" w:rsidRDefault="00812CB4">
            <w:pPr>
              <w:spacing w:after="0" w:line="259" w:lineRule="auto"/>
              <w:ind w:left="0" w:firstLine="0"/>
            </w:pPr>
            <w:r>
              <w:rPr>
                <w:sz w:val="20"/>
              </w:rPr>
              <w:t xml:space="preserve">Recorder of Belfast </w:t>
            </w:r>
          </w:p>
        </w:tc>
        <w:tc>
          <w:tcPr>
            <w:tcW w:w="1276" w:type="dxa"/>
            <w:tcBorders>
              <w:top w:val="single" w:sz="4" w:space="0" w:color="000000"/>
              <w:left w:val="single" w:sz="4" w:space="0" w:color="000000"/>
              <w:bottom w:val="single" w:sz="4" w:space="0" w:color="000000"/>
              <w:right w:val="single" w:sz="4" w:space="0" w:color="000000"/>
            </w:tcBorders>
          </w:tcPr>
          <w:p w14:paraId="1414F12C" w14:textId="77777777" w:rsidR="002C26E2" w:rsidRDefault="00812CB4">
            <w:pPr>
              <w:spacing w:after="0" w:line="259" w:lineRule="auto"/>
              <w:ind w:left="0" w:right="58" w:firstLine="0"/>
              <w:jc w:val="right"/>
            </w:pPr>
            <w:r>
              <w:rPr>
                <w:sz w:val="20"/>
              </w:rPr>
              <w:t xml:space="preserve">£155,706 </w:t>
            </w:r>
          </w:p>
        </w:tc>
        <w:tc>
          <w:tcPr>
            <w:tcW w:w="1276" w:type="dxa"/>
            <w:tcBorders>
              <w:top w:val="single" w:sz="4" w:space="0" w:color="000000"/>
              <w:left w:val="single" w:sz="4" w:space="0" w:color="000000"/>
              <w:bottom w:val="single" w:sz="4" w:space="0" w:color="000000"/>
              <w:right w:val="single" w:sz="4" w:space="0" w:color="000000"/>
            </w:tcBorders>
          </w:tcPr>
          <w:p w14:paraId="0274D88A" w14:textId="77777777" w:rsidR="002C26E2" w:rsidRDefault="00812CB4">
            <w:pPr>
              <w:spacing w:after="0" w:line="259" w:lineRule="auto"/>
              <w:ind w:left="0" w:right="60" w:firstLine="0"/>
              <w:jc w:val="right"/>
            </w:pPr>
            <w:r>
              <w:rPr>
                <w:sz w:val="20"/>
              </w:rPr>
              <w:t xml:space="preserve">£202,762 </w:t>
            </w:r>
          </w:p>
        </w:tc>
        <w:tc>
          <w:tcPr>
            <w:tcW w:w="1418" w:type="dxa"/>
            <w:tcBorders>
              <w:top w:val="single" w:sz="4" w:space="0" w:color="000000"/>
              <w:left w:val="single" w:sz="4" w:space="0" w:color="000000"/>
              <w:bottom w:val="single" w:sz="4" w:space="0" w:color="000000"/>
              <w:right w:val="single" w:sz="4" w:space="0" w:color="000000"/>
            </w:tcBorders>
          </w:tcPr>
          <w:p w14:paraId="57A3D869" w14:textId="77777777" w:rsidR="002C26E2" w:rsidRDefault="00812CB4">
            <w:pPr>
              <w:spacing w:after="0" w:line="259" w:lineRule="auto"/>
              <w:ind w:left="0" w:right="59" w:firstLine="0"/>
              <w:jc w:val="right"/>
            </w:pPr>
            <w:r>
              <w:rPr>
                <w:sz w:val="20"/>
              </w:rPr>
              <w:t xml:space="preserve">£47,056 </w:t>
            </w:r>
          </w:p>
        </w:tc>
        <w:tc>
          <w:tcPr>
            <w:tcW w:w="1415" w:type="dxa"/>
            <w:tcBorders>
              <w:top w:val="single" w:sz="4" w:space="0" w:color="000000"/>
              <w:left w:val="single" w:sz="4" w:space="0" w:color="000000"/>
              <w:bottom w:val="single" w:sz="4" w:space="0" w:color="000000"/>
              <w:right w:val="single" w:sz="4" w:space="0" w:color="000000"/>
            </w:tcBorders>
          </w:tcPr>
          <w:p w14:paraId="43B2096A" w14:textId="77777777" w:rsidR="002C26E2" w:rsidRDefault="00812CB4">
            <w:pPr>
              <w:spacing w:after="0" w:line="259" w:lineRule="auto"/>
              <w:ind w:left="0" w:right="58" w:firstLine="0"/>
              <w:jc w:val="right"/>
            </w:pPr>
            <w:r>
              <w:rPr>
                <w:sz w:val="20"/>
              </w:rPr>
              <w:t xml:space="preserve">30.2% </w:t>
            </w:r>
          </w:p>
        </w:tc>
      </w:tr>
      <w:tr w:rsidR="002C26E2" w14:paraId="6B025242"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08A3D0B4" w14:textId="77777777" w:rsidR="002C26E2" w:rsidRDefault="00812CB4">
            <w:pPr>
              <w:spacing w:after="0" w:line="259" w:lineRule="auto"/>
              <w:ind w:left="0" w:firstLine="0"/>
            </w:pPr>
            <w:r>
              <w:rPr>
                <w:sz w:val="20"/>
              </w:rPr>
              <w:t xml:space="preserve">County Court Judge (NI) </w:t>
            </w:r>
          </w:p>
        </w:tc>
        <w:tc>
          <w:tcPr>
            <w:tcW w:w="1276" w:type="dxa"/>
            <w:tcBorders>
              <w:top w:val="single" w:sz="4" w:space="0" w:color="000000"/>
              <w:left w:val="single" w:sz="4" w:space="0" w:color="000000"/>
              <w:bottom w:val="single" w:sz="4" w:space="0" w:color="000000"/>
              <w:right w:val="single" w:sz="4" w:space="0" w:color="000000"/>
            </w:tcBorders>
          </w:tcPr>
          <w:p w14:paraId="0F8A4197" w14:textId="77777777" w:rsidR="002C26E2" w:rsidRDefault="00812CB4">
            <w:pPr>
              <w:spacing w:after="0" w:line="259" w:lineRule="auto"/>
              <w:ind w:left="0" w:right="58" w:firstLine="0"/>
              <w:jc w:val="right"/>
            </w:pPr>
            <w:r>
              <w:rPr>
                <w:sz w:val="20"/>
              </w:rPr>
              <w:t xml:space="preserve">£144,172 </w:t>
            </w:r>
          </w:p>
        </w:tc>
        <w:tc>
          <w:tcPr>
            <w:tcW w:w="1276" w:type="dxa"/>
            <w:tcBorders>
              <w:top w:val="single" w:sz="4" w:space="0" w:color="000000"/>
              <w:left w:val="single" w:sz="4" w:space="0" w:color="000000"/>
              <w:bottom w:val="single" w:sz="4" w:space="0" w:color="000000"/>
              <w:right w:val="single" w:sz="4" w:space="0" w:color="000000"/>
            </w:tcBorders>
          </w:tcPr>
          <w:p w14:paraId="4602FA2C" w14:textId="77777777" w:rsidR="002C26E2" w:rsidRDefault="00812CB4">
            <w:pPr>
              <w:spacing w:after="0" w:line="259" w:lineRule="auto"/>
              <w:ind w:left="0" w:right="60" w:firstLine="0"/>
              <w:jc w:val="right"/>
            </w:pPr>
            <w:r>
              <w:rPr>
                <w:sz w:val="20"/>
              </w:rPr>
              <w:t xml:space="preserve">£187,743 </w:t>
            </w:r>
          </w:p>
        </w:tc>
        <w:tc>
          <w:tcPr>
            <w:tcW w:w="1418" w:type="dxa"/>
            <w:tcBorders>
              <w:top w:val="single" w:sz="4" w:space="0" w:color="000000"/>
              <w:left w:val="single" w:sz="4" w:space="0" w:color="000000"/>
              <w:bottom w:val="single" w:sz="4" w:space="0" w:color="000000"/>
              <w:right w:val="single" w:sz="4" w:space="0" w:color="000000"/>
            </w:tcBorders>
          </w:tcPr>
          <w:p w14:paraId="7B444C49" w14:textId="77777777" w:rsidR="002C26E2" w:rsidRDefault="00812CB4">
            <w:pPr>
              <w:spacing w:after="0" w:line="259" w:lineRule="auto"/>
              <w:ind w:left="0" w:right="59" w:firstLine="0"/>
              <w:jc w:val="right"/>
            </w:pPr>
            <w:r>
              <w:rPr>
                <w:sz w:val="20"/>
              </w:rPr>
              <w:t xml:space="preserve">£43,571 </w:t>
            </w:r>
          </w:p>
        </w:tc>
        <w:tc>
          <w:tcPr>
            <w:tcW w:w="1415" w:type="dxa"/>
            <w:tcBorders>
              <w:top w:val="single" w:sz="4" w:space="0" w:color="000000"/>
              <w:left w:val="single" w:sz="4" w:space="0" w:color="000000"/>
              <w:bottom w:val="single" w:sz="4" w:space="0" w:color="000000"/>
              <w:right w:val="single" w:sz="4" w:space="0" w:color="000000"/>
            </w:tcBorders>
          </w:tcPr>
          <w:p w14:paraId="062F98B7" w14:textId="77777777" w:rsidR="002C26E2" w:rsidRDefault="00812CB4">
            <w:pPr>
              <w:spacing w:after="0" w:line="259" w:lineRule="auto"/>
              <w:ind w:left="0" w:right="58" w:firstLine="0"/>
              <w:jc w:val="right"/>
            </w:pPr>
            <w:r>
              <w:rPr>
                <w:sz w:val="20"/>
              </w:rPr>
              <w:t xml:space="preserve">30.2% </w:t>
            </w:r>
          </w:p>
        </w:tc>
      </w:tr>
      <w:tr w:rsidR="002C26E2" w14:paraId="77E6522B" w14:textId="77777777">
        <w:trPr>
          <w:trHeight w:val="514"/>
        </w:trPr>
        <w:tc>
          <w:tcPr>
            <w:tcW w:w="3681" w:type="dxa"/>
            <w:tcBorders>
              <w:top w:val="single" w:sz="4" w:space="0" w:color="000000"/>
              <w:left w:val="single" w:sz="4" w:space="0" w:color="000000"/>
              <w:bottom w:val="single" w:sz="4" w:space="0" w:color="000000"/>
              <w:right w:val="single" w:sz="4" w:space="0" w:color="000000"/>
            </w:tcBorders>
          </w:tcPr>
          <w:p w14:paraId="531AAD81" w14:textId="77777777" w:rsidR="002C26E2" w:rsidRDefault="00812CB4">
            <w:pPr>
              <w:spacing w:after="0" w:line="259" w:lineRule="auto"/>
              <w:ind w:left="0" w:firstLine="0"/>
            </w:pPr>
            <w:r>
              <w:rPr>
                <w:sz w:val="20"/>
              </w:rPr>
              <w:t xml:space="preserve">Presiding District Judge (MC) (NI) </w:t>
            </w:r>
          </w:p>
        </w:tc>
        <w:tc>
          <w:tcPr>
            <w:tcW w:w="1276" w:type="dxa"/>
            <w:tcBorders>
              <w:top w:val="single" w:sz="4" w:space="0" w:color="000000"/>
              <w:left w:val="single" w:sz="4" w:space="0" w:color="000000"/>
              <w:bottom w:val="single" w:sz="4" w:space="0" w:color="000000"/>
              <w:right w:val="single" w:sz="4" w:space="0" w:color="000000"/>
            </w:tcBorders>
          </w:tcPr>
          <w:p w14:paraId="417F0DB2" w14:textId="77777777" w:rsidR="002C26E2" w:rsidRDefault="00812CB4">
            <w:pPr>
              <w:spacing w:after="0" w:line="259" w:lineRule="auto"/>
              <w:ind w:left="0" w:right="58" w:firstLine="0"/>
              <w:jc w:val="right"/>
            </w:pPr>
            <w:r>
              <w:rPr>
                <w:sz w:val="20"/>
              </w:rPr>
              <w:t xml:space="preserve">£115,668 </w:t>
            </w:r>
          </w:p>
        </w:tc>
        <w:tc>
          <w:tcPr>
            <w:tcW w:w="1276" w:type="dxa"/>
            <w:tcBorders>
              <w:top w:val="single" w:sz="4" w:space="0" w:color="000000"/>
              <w:left w:val="single" w:sz="4" w:space="0" w:color="000000"/>
              <w:bottom w:val="single" w:sz="4" w:space="0" w:color="000000"/>
              <w:right w:val="single" w:sz="4" w:space="0" w:color="000000"/>
            </w:tcBorders>
          </w:tcPr>
          <w:p w14:paraId="423D4BB7" w14:textId="77777777" w:rsidR="002C26E2" w:rsidRDefault="00812CB4">
            <w:pPr>
              <w:spacing w:after="0" w:line="259" w:lineRule="auto"/>
              <w:ind w:left="0" w:right="59" w:firstLine="0"/>
              <w:jc w:val="right"/>
            </w:pPr>
            <w:r>
              <w:rPr>
                <w:sz w:val="20"/>
              </w:rPr>
              <w:t xml:space="preserve">£163,675 </w:t>
            </w:r>
          </w:p>
        </w:tc>
        <w:tc>
          <w:tcPr>
            <w:tcW w:w="1418" w:type="dxa"/>
            <w:tcBorders>
              <w:top w:val="single" w:sz="4" w:space="0" w:color="000000"/>
              <w:left w:val="single" w:sz="4" w:space="0" w:color="000000"/>
              <w:bottom w:val="single" w:sz="4" w:space="0" w:color="000000"/>
              <w:right w:val="single" w:sz="4" w:space="0" w:color="000000"/>
            </w:tcBorders>
          </w:tcPr>
          <w:p w14:paraId="448E9474" w14:textId="77777777" w:rsidR="002C26E2" w:rsidRDefault="00812CB4">
            <w:pPr>
              <w:spacing w:after="0" w:line="259" w:lineRule="auto"/>
              <w:ind w:left="0" w:right="58" w:firstLine="0"/>
              <w:jc w:val="right"/>
            </w:pPr>
            <w:r>
              <w:rPr>
                <w:sz w:val="20"/>
              </w:rPr>
              <w:t xml:space="preserve">£48,007 </w:t>
            </w:r>
          </w:p>
        </w:tc>
        <w:tc>
          <w:tcPr>
            <w:tcW w:w="1415" w:type="dxa"/>
            <w:tcBorders>
              <w:top w:val="single" w:sz="4" w:space="0" w:color="000000"/>
              <w:left w:val="single" w:sz="4" w:space="0" w:color="000000"/>
              <w:bottom w:val="single" w:sz="4" w:space="0" w:color="000000"/>
              <w:right w:val="single" w:sz="4" w:space="0" w:color="000000"/>
            </w:tcBorders>
          </w:tcPr>
          <w:p w14:paraId="2CE21257" w14:textId="77777777" w:rsidR="002C26E2" w:rsidRDefault="00812CB4">
            <w:pPr>
              <w:spacing w:after="0" w:line="259" w:lineRule="auto"/>
              <w:ind w:left="0" w:right="58" w:firstLine="0"/>
              <w:jc w:val="right"/>
            </w:pPr>
            <w:r>
              <w:rPr>
                <w:sz w:val="20"/>
              </w:rPr>
              <w:t xml:space="preserve">41.5% </w:t>
            </w:r>
          </w:p>
        </w:tc>
      </w:tr>
      <w:tr w:rsidR="002C26E2" w14:paraId="5A3ACEE5"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59EB2F29" w14:textId="77777777" w:rsidR="002C26E2" w:rsidRDefault="00812CB4">
            <w:pPr>
              <w:spacing w:after="0" w:line="259" w:lineRule="auto"/>
              <w:ind w:left="0" w:firstLine="0"/>
            </w:pPr>
            <w:r>
              <w:rPr>
                <w:sz w:val="20"/>
              </w:rPr>
              <w:t xml:space="preserve">District Judge (MC) (NI) </w:t>
            </w:r>
          </w:p>
        </w:tc>
        <w:tc>
          <w:tcPr>
            <w:tcW w:w="1276" w:type="dxa"/>
            <w:tcBorders>
              <w:top w:val="single" w:sz="4" w:space="0" w:color="000000"/>
              <w:left w:val="single" w:sz="4" w:space="0" w:color="000000"/>
              <w:bottom w:val="single" w:sz="4" w:space="0" w:color="000000"/>
              <w:right w:val="single" w:sz="4" w:space="0" w:color="000000"/>
            </w:tcBorders>
          </w:tcPr>
          <w:p w14:paraId="2E7D1555" w14:textId="77777777" w:rsidR="002C26E2" w:rsidRDefault="00812CB4">
            <w:pPr>
              <w:spacing w:after="0" w:line="259" w:lineRule="auto"/>
              <w:ind w:left="0" w:right="58" w:firstLine="0"/>
              <w:jc w:val="right"/>
            </w:pPr>
            <w:r>
              <w:rPr>
                <w:sz w:val="20"/>
              </w:rPr>
              <w:t xml:space="preserve">£107,100 </w:t>
            </w:r>
          </w:p>
        </w:tc>
        <w:tc>
          <w:tcPr>
            <w:tcW w:w="1276" w:type="dxa"/>
            <w:tcBorders>
              <w:top w:val="single" w:sz="4" w:space="0" w:color="000000"/>
              <w:left w:val="single" w:sz="4" w:space="0" w:color="000000"/>
              <w:bottom w:val="single" w:sz="4" w:space="0" w:color="000000"/>
              <w:right w:val="single" w:sz="4" w:space="0" w:color="000000"/>
            </w:tcBorders>
          </w:tcPr>
          <w:p w14:paraId="0FA824C4" w14:textId="77777777" w:rsidR="002C26E2" w:rsidRDefault="00812CB4">
            <w:pPr>
              <w:spacing w:after="0" w:line="259" w:lineRule="auto"/>
              <w:ind w:left="0" w:right="59" w:firstLine="0"/>
              <w:jc w:val="right"/>
            </w:pPr>
            <w:r>
              <w:rPr>
                <w:sz w:val="20"/>
              </w:rPr>
              <w:t xml:space="preserve">£139,469 </w:t>
            </w:r>
          </w:p>
        </w:tc>
        <w:tc>
          <w:tcPr>
            <w:tcW w:w="1418" w:type="dxa"/>
            <w:tcBorders>
              <w:top w:val="single" w:sz="4" w:space="0" w:color="000000"/>
              <w:left w:val="single" w:sz="4" w:space="0" w:color="000000"/>
              <w:bottom w:val="single" w:sz="4" w:space="0" w:color="000000"/>
              <w:right w:val="single" w:sz="4" w:space="0" w:color="000000"/>
            </w:tcBorders>
          </w:tcPr>
          <w:p w14:paraId="4097203C" w14:textId="77777777" w:rsidR="002C26E2" w:rsidRDefault="00812CB4">
            <w:pPr>
              <w:spacing w:after="0" w:line="259" w:lineRule="auto"/>
              <w:ind w:left="0" w:right="58" w:firstLine="0"/>
              <w:jc w:val="right"/>
            </w:pPr>
            <w:r>
              <w:rPr>
                <w:sz w:val="20"/>
              </w:rPr>
              <w:t xml:space="preserve">£32,369 </w:t>
            </w:r>
          </w:p>
        </w:tc>
        <w:tc>
          <w:tcPr>
            <w:tcW w:w="1415" w:type="dxa"/>
            <w:tcBorders>
              <w:top w:val="single" w:sz="4" w:space="0" w:color="000000"/>
              <w:left w:val="single" w:sz="4" w:space="0" w:color="000000"/>
              <w:bottom w:val="single" w:sz="4" w:space="0" w:color="000000"/>
              <w:right w:val="single" w:sz="4" w:space="0" w:color="000000"/>
            </w:tcBorders>
          </w:tcPr>
          <w:p w14:paraId="00BC7E02" w14:textId="77777777" w:rsidR="002C26E2" w:rsidRDefault="00812CB4">
            <w:pPr>
              <w:spacing w:after="0" w:line="259" w:lineRule="auto"/>
              <w:ind w:left="0" w:right="58" w:firstLine="0"/>
              <w:jc w:val="right"/>
            </w:pPr>
            <w:r>
              <w:rPr>
                <w:sz w:val="20"/>
              </w:rPr>
              <w:t xml:space="preserve">30.2% </w:t>
            </w:r>
          </w:p>
        </w:tc>
      </w:tr>
      <w:tr w:rsidR="002C26E2" w14:paraId="4F6CD696" w14:textId="77777777">
        <w:trPr>
          <w:trHeight w:val="514"/>
        </w:trPr>
        <w:tc>
          <w:tcPr>
            <w:tcW w:w="3681" w:type="dxa"/>
            <w:tcBorders>
              <w:top w:val="single" w:sz="4" w:space="0" w:color="000000"/>
              <w:left w:val="single" w:sz="4" w:space="0" w:color="000000"/>
              <w:bottom w:val="single" w:sz="4" w:space="0" w:color="000000"/>
              <w:right w:val="single" w:sz="4" w:space="0" w:color="000000"/>
            </w:tcBorders>
          </w:tcPr>
          <w:p w14:paraId="1D1FFB90" w14:textId="77777777" w:rsidR="002C26E2" w:rsidRDefault="00812CB4">
            <w:pPr>
              <w:spacing w:after="0" w:line="259" w:lineRule="auto"/>
              <w:ind w:left="0" w:firstLine="0"/>
            </w:pPr>
            <w:r>
              <w:rPr>
                <w:sz w:val="20"/>
              </w:rPr>
              <w:t xml:space="preserve">Masters of the Court of Judicature (NI) </w:t>
            </w:r>
          </w:p>
        </w:tc>
        <w:tc>
          <w:tcPr>
            <w:tcW w:w="1276" w:type="dxa"/>
            <w:tcBorders>
              <w:top w:val="single" w:sz="4" w:space="0" w:color="000000"/>
              <w:left w:val="single" w:sz="4" w:space="0" w:color="000000"/>
              <w:bottom w:val="single" w:sz="4" w:space="0" w:color="000000"/>
              <w:right w:val="single" w:sz="4" w:space="0" w:color="000000"/>
            </w:tcBorders>
          </w:tcPr>
          <w:p w14:paraId="6F02967B" w14:textId="77777777" w:rsidR="002C26E2" w:rsidRDefault="00812CB4">
            <w:pPr>
              <w:spacing w:after="0" w:line="259" w:lineRule="auto"/>
              <w:ind w:left="0" w:right="58" w:firstLine="0"/>
              <w:jc w:val="right"/>
            </w:pPr>
            <w:r>
              <w:rPr>
                <w:sz w:val="20"/>
              </w:rPr>
              <w:t xml:space="preserve">£144,172 </w:t>
            </w:r>
          </w:p>
        </w:tc>
        <w:tc>
          <w:tcPr>
            <w:tcW w:w="1276" w:type="dxa"/>
            <w:tcBorders>
              <w:top w:val="single" w:sz="4" w:space="0" w:color="000000"/>
              <w:left w:val="single" w:sz="4" w:space="0" w:color="000000"/>
              <w:bottom w:val="single" w:sz="4" w:space="0" w:color="000000"/>
              <w:right w:val="single" w:sz="4" w:space="0" w:color="000000"/>
            </w:tcBorders>
          </w:tcPr>
          <w:p w14:paraId="5153DE59" w14:textId="77777777" w:rsidR="002C26E2" w:rsidRDefault="00812CB4">
            <w:pPr>
              <w:spacing w:after="0" w:line="259" w:lineRule="auto"/>
              <w:ind w:left="0" w:right="59" w:firstLine="0"/>
              <w:jc w:val="right"/>
            </w:pPr>
            <w:r>
              <w:rPr>
                <w:sz w:val="20"/>
              </w:rPr>
              <w:t xml:space="preserve">£173,854 </w:t>
            </w:r>
          </w:p>
        </w:tc>
        <w:tc>
          <w:tcPr>
            <w:tcW w:w="1418" w:type="dxa"/>
            <w:tcBorders>
              <w:top w:val="single" w:sz="4" w:space="0" w:color="000000"/>
              <w:left w:val="single" w:sz="4" w:space="0" w:color="000000"/>
              <w:bottom w:val="single" w:sz="4" w:space="0" w:color="000000"/>
              <w:right w:val="single" w:sz="4" w:space="0" w:color="000000"/>
            </w:tcBorders>
          </w:tcPr>
          <w:p w14:paraId="1985EB4E" w14:textId="77777777" w:rsidR="002C26E2" w:rsidRDefault="00812CB4">
            <w:pPr>
              <w:spacing w:after="0" w:line="259" w:lineRule="auto"/>
              <w:ind w:left="0" w:right="58" w:firstLine="0"/>
              <w:jc w:val="right"/>
            </w:pPr>
            <w:r>
              <w:rPr>
                <w:sz w:val="20"/>
              </w:rPr>
              <w:t xml:space="preserve">£29,682 </w:t>
            </w:r>
          </w:p>
        </w:tc>
        <w:tc>
          <w:tcPr>
            <w:tcW w:w="1415" w:type="dxa"/>
            <w:tcBorders>
              <w:top w:val="single" w:sz="4" w:space="0" w:color="000000"/>
              <w:left w:val="single" w:sz="4" w:space="0" w:color="000000"/>
              <w:bottom w:val="single" w:sz="4" w:space="0" w:color="000000"/>
              <w:right w:val="single" w:sz="4" w:space="0" w:color="000000"/>
            </w:tcBorders>
          </w:tcPr>
          <w:p w14:paraId="41A0C330" w14:textId="77777777" w:rsidR="002C26E2" w:rsidRDefault="00812CB4">
            <w:pPr>
              <w:spacing w:after="0" w:line="259" w:lineRule="auto"/>
              <w:ind w:left="0" w:right="58" w:firstLine="0"/>
              <w:jc w:val="right"/>
            </w:pPr>
            <w:r>
              <w:rPr>
                <w:sz w:val="20"/>
              </w:rPr>
              <w:t xml:space="preserve">20.6% </w:t>
            </w:r>
          </w:p>
        </w:tc>
      </w:tr>
      <w:tr w:rsidR="002C26E2" w14:paraId="3CA5463A" w14:textId="77777777">
        <w:trPr>
          <w:trHeight w:val="862"/>
        </w:trPr>
        <w:tc>
          <w:tcPr>
            <w:tcW w:w="3681" w:type="dxa"/>
            <w:tcBorders>
              <w:top w:val="single" w:sz="4" w:space="0" w:color="000000"/>
              <w:left w:val="single" w:sz="4" w:space="0" w:color="000000"/>
              <w:bottom w:val="single" w:sz="4" w:space="0" w:color="000000"/>
              <w:right w:val="single" w:sz="4" w:space="0" w:color="000000"/>
            </w:tcBorders>
          </w:tcPr>
          <w:p w14:paraId="18711AAE" w14:textId="7034D22D" w:rsidR="002C26E2" w:rsidRDefault="00812CB4" w:rsidP="00554D9A">
            <w:pPr>
              <w:spacing w:after="96" w:line="259" w:lineRule="auto"/>
              <w:ind w:left="0" w:firstLine="0"/>
            </w:pPr>
            <w:r>
              <w:rPr>
                <w:sz w:val="20"/>
              </w:rPr>
              <w:t xml:space="preserve">Presiding Member of the Court of </w:t>
            </w:r>
            <w:r>
              <w:rPr>
                <w:sz w:val="20"/>
              </w:rPr>
              <w:t xml:space="preserve">Judicature (NI) </w:t>
            </w:r>
          </w:p>
        </w:tc>
        <w:tc>
          <w:tcPr>
            <w:tcW w:w="1276" w:type="dxa"/>
            <w:tcBorders>
              <w:top w:val="single" w:sz="4" w:space="0" w:color="000000"/>
              <w:left w:val="single" w:sz="4" w:space="0" w:color="000000"/>
              <w:bottom w:val="single" w:sz="4" w:space="0" w:color="000000"/>
              <w:right w:val="single" w:sz="4" w:space="0" w:color="000000"/>
            </w:tcBorders>
            <w:vAlign w:val="bottom"/>
          </w:tcPr>
          <w:p w14:paraId="46193F5B" w14:textId="77777777" w:rsidR="002C26E2" w:rsidRDefault="00812CB4">
            <w:pPr>
              <w:spacing w:after="0" w:line="259" w:lineRule="auto"/>
              <w:ind w:left="0" w:right="58" w:firstLine="0"/>
              <w:jc w:val="right"/>
            </w:pPr>
            <w:r>
              <w:rPr>
                <w:sz w:val="20"/>
              </w:rPr>
              <w:t>£</w:t>
            </w:r>
            <w:r>
              <w:rPr>
                <w:sz w:val="20"/>
              </w:rPr>
              <w:t xml:space="preserve">144,172 </w:t>
            </w:r>
          </w:p>
        </w:tc>
        <w:tc>
          <w:tcPr>
            <w:tcW w:w="1276" w:type="dxa"/>
            <w:tcBorders>
              <w:top w:val="single" w:sz="4" w:space="0" w:color="000000"/>
              <w:left w:val="single" w:sz="4" w:space="0" w:color="000000"/>
              <w:bottom w:val="single" w:sz="4" w:space="0" w:color="000000"/>
              <w:right w:val="single" w:sz="4" w:space="0" w:color="000000"/>
            </w:tcBorders>
            <w:vAlign w:val="bottom"/>
          </w:tcPr>
          <w:p w14:paraId="51A05E19" w14:textId="77777777" w:rsidR="002C26E2" w:rsidRDefault="00812CB4">
            <w:pPr>
              <w:spacing w:after="0" w:line="259" w:lineRule="auto"/>
              <w:ind w:left="0" w:right="59" w:firstLine="0"/>
              <w:jc w:val="right"/>
            </w:pPr>
            <w:r>
              <w:rPr>
                <w:sz w:val="20"/>
              </w:rPr>
              <w:t xml:space="preserve">£173,854 </w:t>
            </w:r>
          </w:p>
        </w:tc>
        <w:tc>
          <w:tcPr>
            <w:tcW w:w="1418" w:type="dxa"/>
            <w:tcBorders>
              <w:top w:val="single" w:sz="4" w:space="0" w:color="000000"/>
              <w:left w:val="single" w:sz="4" w:space="0" w:color="000000"/>
              <w:bottom w:val="single" w:sz="4" w:space="0" w:color="000000"/>
              <w:right w:val="single" w:sz="4" w:space="0" w:color="000000"/>
            </w:tcBorders>
            <w:vAlign w:val="bottom"/>
          </w:tcPr>
          <w:p w14:paraId="1046CF55" w14:textId="77777777" w:rsidR="002C26E2" w:rsidRDefault="00812CB4">
            <w:pPr>
              <w:spacing w:after="0" w:line="259" w:lineRule="auto"/>
              <w:ind w:left="0" w:right="58" w:firstLine="0"/>
              <w:jc w:val="right"/>
            </w:pPr>
            <w:r>
              <w:rPr>
                <w:sz w:val="20"/>
              </w:rPr>
              <w:t xml:space="preserve">£29,682 </w:t>
            </w:r>
          </w:p>
        </w:tc>
        <w:tc>
          <w:tcPr>
            <w:tcW w:w="1415" w:type="dxa"/>
            <w:tcBorders>
              <w:top w:val="single" w:sz="4" w:space="0" w:color="000000"/>
              <w:left w:val="single" w:sz="4" w:space="0" w:color="000000"/>
              <w:bottom w:val="single" w:sz="4" w:space="0" w:color="000000"/>
              <w:right w:val="single" w:sz="4" w:space="0" w:color="000000"/>
            </w:tcBorders>
            <w:vAlign w:val="bottom"/>
          </w:tcPr>
          <w:p w14:paraId="078CB916" w14:textId="77777777" w:rsidR="002C26E2" w:rsidRDefault="00812CB4">
            <w:pPr>
              <w:spacing w:after="0" w:line="259" w:lineRule="auto"/>
              <w:ind w:left="0" w:right="58" w:firstLine="0"/>
              <w:jc w:val="right"/>
            </w:pPr>
            <w:r>
              <w:rPr>
                <w:sz w:val="20"/>
              </w:rPr>
              <w:t xml:space="preserve">20.6% </w:t>
            </w:r>
          </w:p>
        </w:tc>
      </w:tr>
      <w:tr w:rsidR="002C26E2" w14:paraId="156B0D78" w14:textId="77777777">
        <w:trPr>
          <w:trHeight w:val="514"/>
        </w:trPr>
        <w:tc>
          <w:tcPr>
            <w:tcW w:w="3681" w:type="dxa"/>
            <w:tcBorders>
              <w:top w:val="single" w:sz="4" w:space="0" w:color="000000"/>
              <w:left w:val="single" w:sz="4" w:space="0" w:color="000000"/>
              <w:bottom w:val="single" w:sz="4" w:space="0" w:color="000000"/>
              <w:right w:val="single" w:sz="4" w:space="0" w:color="000000"/>
            </w:tcBorders>
          </w:tcPr>
          <w:p w14:paraId="2B83F29E" w14:textId="77777777" w:rsidR="002C26E2" w:rsidRDefault="00812CB4">
            <w:pPr>
              <w:spacing w:after="0" w:line="259" w:lineRule="auto"/>
              <w:ind w:left="0" w:firstLine="0"/>
            </w:pPr>
            <w:r>
              <w:rPr>
                <w:sz w:val="20"/>
              </w:rPr>
              <w:t xml:space="preserve">Presiding District Judge (NI) </w:t>
            </w:r>
          </w:p>
        </w:tc>
        <w:tc>
          <w:tcPr>
            <w:tcW w:w="1276" w:type="dxa"/>
            <w:tcBorders>
              <w:top w:val="single" w:sz="4" w:space="0" w:color="000000"/>
              <w:left w:val="single" w:sz="4" w:space="0" w:color="000000"/>
              <w:bottom w:val="single" w:sz="4" w:space="0" w:color="000000"/>
              <w:right w:val="single" w:sz="4" w:space="0" w:color="000000"/>
            </w:tcBorders>
          </w:tcPr>
          <w:p w14:paraId="7FFF5F2D" w14:textId="77777777" w:rsidR="002C26E2" w:rsidRDefault="00812CB4">
            <w:pPr>
              <w:spacing w:after="0" w:line="259" w:lineRule="auto"/>
              <w:ind w:left="0" w:right="58" w:firstLine="0"/>
              <w:jc w:val="right"/>
            </w:pPr>
            <w:r>
              <w:rPr>
                <w:sz w:val="20"/>
              </w:rPr>
              <w:t xml:space="preserve">£115,668 </w:t>
            </w:r>
          </w:p>
        </w:tc>
        <w:tc>
          <w:tcPr>
            <w:tcW w:w="1276" w:type="dxa"/>
            <w:tcBorders>
              <w:top w:val="single" w:sz="4" w:space="0" w:color="000000"/>
              <w:left w:val="single" w:sz="4" w:space="0" w:color="000000"/>
              <w:bottom w:val="single" w:sz="4" w:space="0" w:color="000000"/>
              <w:right w:val="single" w:sz="4" w:space="0" w:color="000000"/>
            </w:tcBorders>
          </w:tcPr>
          <w:p w14:paraId="02F34201" w14:textId="77777777" w:rsidR="002C26E2" w:rsidRDefault="00812CB4">
            <w:pPr>
              <w:spacing w:after="0" w:line="259" w:lineRule="auto"/>
              <w:ind w:left="0" w:right="59" w:firstLine="0"/>
              <w:jc w:val="right"/>
            </w:pPr>
            <w:r>
              <w:rPr>
                <w:sz w:val="20"/>
              </w:rPr>
              <w:t xml:space="preserve">£163,675 </w:t>
            </w:r>
          </w:p>
        </w:tc>
        <w:tc>
          <w:tcPr>
            <w:tcW w:w="1418" w:type="dxa"/>
            <w:tcBorders>
              <w:top w:val="single" w:sz="4" w:space="0" w:color="000000"/>
              <w:left w:val="single" w:sz="4" w:space="0" w:color="000000"/>
              <w:bottom w:val="single" w:sz="4" w:space="0" w:color="000000"/>
              <w:right w:val="single" w:sz="4" w:space="0" w:color="000000"/>
            </w:tcBorders>
          </w:tcPr>
          <w:p w14:paraId="4937CF31" w14:textId="77777777" w:rsidR="002C26E2" w:rsidRDefault="00812CB4">
            <w:pPr>
              <w:spacing w:after="0" w:line="259" w:lineRule="auto"/>
              <w:ind w:left="0" w:right="58" w:firstLine="0"/>
              <w:jc w:val="right"/>
            </w:pPr>
            <w:r>
              <w:rPr>
                <w:sz w:val="20"/>
              </w:rPr>
              <w:t xml:space="preserve">£48,007 </w:t>
            </w:r>
          </w:p>
        </w:tc>
        <w:tc>
          <w:tcPr>
            <w:tcW w:w="1415" w:type="dxa"/>
            <w:tcBorders>
              <w:top w:val="single" w:sz="4" w:space="0" w:color="000000"/>
              <w:left w:val="single" w:sz="4" w:space="0" w:color="000000"/>
              <w:bottom w:val="single" w:sz="4" w:space="0" w:color="000000"/>
              <w:right w:val="single" w:sz="4" w:space="0" w:color="000000"/>
            </w:tcBorders>
          </w:tcPr>
          <w:p w14:paraId="7D1478CB" w14:textId="77777777" w:rsidR="002C26E2" w:rsidRDefault="00812CB4">
            <w:pPr>
              <w:spacing w:after="0" w:line="259" w:lineRule="auto"/>
              <w:ind w:left="0" w:right="58" w:firstLine="0"/>
              <w:jc w:val="right"/>
            </w:pPr>
            <w:r>
              <w:rPr>
                <w:sz w:val="20"/>
              </w:rPr>
              <w:t xml:space="preserve">41.5% </w:t>
            </w:r>
          </w:p>
        </w:tc>
      </w:tr>
      <w:tr w:rsidR="002C26E2" w14:paraId="07D2BFDF"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46F062AD" w14:textId="77777777" w:rsidR="002C26E2" w:rsidRDefault="00812CB4">
            <w:pPr>
              <w:spacing w:after="0" w:line="259" w:lineRule="auto"/>
              <w:ind w:left="0" w:firstLine="0"/>
            </w:pPr>
            <w:r>
              <w:rPr>
                <w:sz w:val="20"/>
              </w:rPr>
              <w:t xml:space="preserve">District Judge (NI) </w:t>
            </w:r>
          </w:p>
        </w:tc>
        <w:tc>
          <w:tcPr>
            <w:tcW w:w="1276" w:type="dxa"/>
            <w:tcBorders>
              <w:top w:val="single" w:sz="4" w:space="0" w:color="000000"/>
              <w:left w:val="single" w:sz="4" w:space="0" w:color="000000"/>
              <w:bottom w:val="single" w:sz="4" w:space="0" w:color="000000"/>
              <w:right w:val="single" w:sz="4" w:space="0" w:color="000000"/>
            </w:tcBorders>
          </w:tcPr>
          <w:p w14:paraId="0F065587" w14:textId="77777777" w:rsidR="002C26E2" w:rsidRDefault="00812CB4">
            <w:pPr>
              <w:spacing w:after="0" w:line="259" w:lineRule="auto"/>
              <w:ind w:left="0" w:right="58" w:firstLine="0"/>
              <w:jc w:val="right"/>
            </w:pPr>
            <w:r>
              <w:rPr>
                <w:sz w:val="20"/>
              </w:rPr>
              <w:t xml:space="preserve">£107,100 </w:t>
            </w:r>
          </w:p>
        </w:tc>
        <w:tc>
          <w:tcPr>
            <w:tcW w:w="1276" w:type="dxa"/>
            <w:tcBorders>
              <w:top w:val="single" w:sz="4" w:space="0" w:color="000000"/>
              <w:left w:val="single" w:sz="4" w:space="0" w:color="000000"/>
              <w:bottom w:val="single" w:sz="4" w:space="0" w:color="000000"/>
              <w:right w:val="single" w:sz="4" w:space="0" w:color="000000"/>
            </w:tcBorders>
          </w:tcPr>
          <w:p w14:paraId="010BC4E2" w14:textId="77777777" w:rsidR="002C26E2" w:rsidRDefault="00812CB4">
            <w:pPr>
              <w:spacing w:after="0" w:line="259" w:lineRule="auto"/>
              <w:ind w:left="0" w:right="59" w:firstLine="0"/>
              <w:jc w:val="right"/>
            </w:pPr>
            <w:r>
              <w:rPr>
                <w:sz w:val="20"/>
              </w:rPr>
              <w:t xml:space="preserve">£139,469 </w:t>
            </w:r>
          </w:p>
        </w:tc>
        <w:tc>
          <w:tcPr>
            <w:tcW w:w="1418" w:type="dxa"/>
            <w:tcBorders>
              <w:top w:val="single" w:sz="4" w:space="0" w:color="000000"/>
              <w:left w:val="single" w:sz="4" w:space="0" w:color="000000"/>
              <w:bottom w:val="single" w:sz="4" w:space="0" w:color="000000"/>
              <w:right w:val="single" w:sz="4" w:space="0" w:color="000000"/>
            </w:tcBorders>
          </w:tcPr>
          <w:p w14:paraId="3B8CC55A" w14:textId="77777777" w:rsidR="002C26E2" w:rsidRDefault="00812CB4">
            <w:pPr>
              <w:spacing w:after="0" w:line="259" w:lineRule="auto"/>
              <w:ind w:left="0" w:right="58" w:firstLine="0"/>
              <w:jc w:val="right"/>
            </w:pPr>
            <w:r>
              <w:rPr>
                <w:sz w:val="20"/>
              </w:rPr>
              <w:t xml:space="preserve">£32,369 </w:t>
            </w:r>
          </w:p>
        </w:tc>
        <w:tc>
          <w:tcPr>
            <w:tcW w:w="1415" w:type="dxa"/>
            <w:tcBorders>
              <w:top w:val="single" w:sz="4" w:space="0" w:color="000000"/>
              <w:left w:val="single" w:sz="4" w:space="0" w:color="000000"/>
              <w:bottom w:val="single" w:sz="4" w:space="0" w:color="000000"/>
              <w:right w:val="single" w:sz="4" w:space="0" w:color="000000"/>
            </w:tcBorders>
          </w:tcPr>
          <w:p w14:paraId="227BF0D4" w14:textId="77777777" w:rsidR="002C26E2" w:rsidRDefault="00812CB4">
            <w:pPr>
              <w:spacing w:after="0" w:line="259" w:lineRule="auto"/>
              <w:ind w:left="0" w:right="58" w:firstLine="0"/>
              <w:jc w:val="right"/>
            </w:pPr>
            <w:r>
              <w:rPr>
                <w:sz w:val="20"/>
              </w:rPr>
              <w:t xml:space="preserve">30.2% </w:t>
            </w:r>
          </w:p>
        </w:tc>
      </w:tr>
      <w:tr w:rsidR="002C26E2" w14:paraId="0B0C0CE5" w14:textId="77777777">
        <w:trPr>
          <w:trHeight w:val="514"/>
        </w:trPr>
        <w:tc>
          <w:tcPr>
            <w:tcW w:w="3681" w:type="dxa"/>
            <w:tcBorders>
              <w:top w:val="single" w:sz="4" w:space="0" w:color="000000"/>
              <w:left w:val="single" w:sz="4" w:space="0" w:color="000000"/>
              <w:bottom w:val="single" w:sz="4" w:space="0" w:color="000000"/>
              <w:right w:val="single" w:sz="4" w:space="0" w:color="000000"/>
            </w:tcBorders>
          </w:tcPr>
          <w:p w14:paraId="3B179319" w14:textId="77777777" w:rsidR="002C26E2" w:rsidRDefault="00812CB4">
            <w:pPr>
              <w:spacing w:after="0" w:line="259" w:lineRule="auto"/>
              <w:ind w:left="0" w:firstLine="0"/>
            </w:pPr>
            <w:r>
              <w:rPr>
                <w:sz w:val="20"/>
              </w:rPr>
              <w:t xml:space="preserve">Presiding Coroner (NI) </w:t>
            </w:r>
          </w:p>
        </w:tc>
        <w:tc>
          <w:tcPr>
            <w:tcW w:w="1276" w:type="dxa"/>
            <w:tcBorders>
              <w:top w:val="single" w:sz="4" w:space="0" w:color="000000"/>
              <w:left w:val="single" w:sz="4" w:space="0" w:color="000000"/>
              <w:bottom w:val="single" w:sz="4" w:space="0" w:color="000000"/>
              <w:right w:val="single" w:sz="4" w:space="0" w:color="000000"/>
            </w:tcBorders>
          </w:tcPr>
          <w:p w14:paraId="1272EBB2" w14:textId="77777777" w:rsidR="002C26E2" w:rsidRDefault="00812CB4">
            <w:pPr>
              <w:spacing w:after="0" w:line="259" w:lineRule="auto"/>
              <w:ind w:left="0" w:right="58" w:firstLine="0"/>
              <w:jc w:val="right"/>
            </w:pPr>
            <w:r>
              <w:rPr>
                <w:sz w:val="20"/>
              </w:rPr>
              <w:t xml:space="preserve">£117,810 </w:t>
            </w:r>
          </w:p>
        </w:tc>
        <w:tc>
          <w:tcPr>
            <w:tcW w:w="1276" w:type="dxa"/>
            <w:tcBorders>
              <w:top w:val="single" w:sz="4" w:space="0" w:color="000000"/>
              <w:left w:val="single" w:sz="4" w:space="0" w:color="000000"/>
              <w:bottom w:val="single" w:sz="4" w:space="0" w:color="000000"/>
              <w:right w:val="single" w:sz="4" w:space="0" w:color="000000"/>
            </w:tcBorders>
          </w:tcPr>
          <w:p w14:paraId="5DC8B553" w14:textId="77777777" w:rsidR="002C26E2" w:rsidRDefault="00812CB4">
            <w:pPr>
              <w:spacing w:after="0" w:line="259" w:lineRule="auto"/>
              <w:ind w:left="0" w:right="59" w:firstLine="0"/>
              <w:jc w:val="right"/>
            </w:pPr>
            <w:r>
              <w:rPr>
                <w:sz w:val="20"/>
              </w:rPr>
              <w:t xml:space="preserve">£139,469 </w:t>
            </w:r>
          </w:p>
        </w:tc>
        <w:tc>
          <w:tcPr>
            <w:tcW w:w="1418" w:type="dxa"/>
            <w:tcBorders>
              <w:top w:val="single" w:sz="4" w:space="0" w:color="000000"/>
              <w:left w:val="single" w:sz="4" w:space="0" w:color="000000"/>
              <w:bottom w:val="single" w:sz="4" w:space="0" w:color="000000"/>
              <w:right w:val="single" w:sz="4" w:space="0" w:color="000000"/>
            </w:tcBorders>
          </w:tcPr>
          <w:p w14:paraId="77E10AB0" w14:textId="77777777" w:rsidR="002C26E2" w:rsidRDefault="00812CB4">
            <w:pPr>
              <w:spacing w:after="0" w:line="259" w:lineRule="auto"/>
              <w:ind w:left="0" w:right="58" w:firstLine="0"/>
              <w:jc w:val="right"/>
            </w:pPr>
            <w:r>
              <w:rPr>
                <w:sz w:val="20"/>
              </w:rPr>
              <w:t xml:space="preserve">£21,659 </w:t>
            </w:r>
          </w:p>
        </w:tc>
        <w:tc>
          <w:tcPr>
            <w:tcW w:w="1415" w:type="dxa"/>
            <w:tcBorders>
              <w:top w:val="single" w:sz="4" w:space="0" w:color="000000"/>
              <w:left w:val="single" w:sz="4" w:space="0" w:color="000000"/>
              <w:bottom w:val="single" w:sz="4" w:space="0" w:color="000000"/>
              <w:right w:val="single" w:sz="4" w:space="0" w:color="000000"/>
            </w:tcBorders>
          </w:tcPr>
          <w:p w14:paraId="0F640477" w14:textId="77777777" w:rsidR="002C26E2" w:rsidRDefault="00812CB4">
            <w:pPr>
              <w:spacing w:after="0" w:line="259" w:lineRule="auto"/>
              <w:ind w:left="0" w:right="58" w:firstLine="0"/>
              <w:jc w:val="right"/>
            </w:pPr>
            <w:r>
              <w:rPr>
                <w:sz w:val="20"/>
              </w:rPr>
              <w:t xml:space="preserve">18.4% </w:t>
            </w:r>
          </w:p>
        </w:tc>
      </w:tr>
      <w:tr w:rsidR="002C26E2" w14:paraId="5CDFC73A"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6857617D" w14:textId="77777777" w:rsidR="002C26E2" w:rsidRDefault="00812CB4">
            <w:pPr>
              <w:spacing w:after="0" w:line="259" w:lineRule="auto"/>
              <w:ind w:left="0" w:firstLine="0"/>
            </w:pPr>
            <w:r>
              <w:rPr>
                <w:sz w:val="20"/>
              </w:rPr>
              <w:t xml:space="preserve">Coroner (NI) </w:t>
            </w:r>
          </w:p>
        </w:tc>
        <w:tc>
          <w:tcPr>
            <w:tcW w:w="1276" w:type="dxa"/>
            <w:tcBorders>
              <w:top w:val="single" w:sz="4" w:space="0" w:color="000000"/>
              <w:left w:val="single" w:sz="4" w:space="0" w:color="000000"/>
              <w:bottom w:val="single" w:sz="4" w:space="0" w:color="000000"/>
              <w:right w:val="single" w:sz="4" w:space="0" w:color="000000"/>
            </w:tcBorders>
          </w:tcPr>
          <w:p w14:paraId="7B43F05E" w14:textId="77777777" w:rsidR="002C26E2" w:rsidRDefault="00812CB4">
            <w:pPr>
              <w:spacing w:after="0" w:line="259" w:lineRule="auto"/>
              <w:ind w:left="0" w:right="58" w:firstLine="0"/>
              <w:jc w:val="right"/>
            </w:pPr>
            <w:r>
              <w:rPr>
                <w:sz w:val="20"/>
              </w:rPr>
              <w:t xml:space="preserve">£107,100 </w:t>
            </w:r>
          </w:p>
        </w:tc>
        <w:tc>
          <w:tcPr>
            <w:tcW w:w="1276" w:type="dxa"/>
            <w:tcBorders>
              <w:top w:val="single" w:sz="4" w:space="0" w:color="000000"/>
              <w:left w:val="single" w:sz="4" w:space="0" w:color="000000"/>
              <w:bottom w:val="single" w:sz="4" w:space="0" w:color="000000"/>
              <w:right w:val="single" w:sz="4" w:space="0" w:color="000000"/>
            </w:tcBorders>
          </w:tcPr>
          <w:p w14:paraId="78693EEE" w14:textId="77777777" w:rsidR="002C26E2" w:rsidRDefault="00812CB4">
            <w:pPr>
              <w:spacing w:after="0" w:line="259" w:lineRule="auto"/>
              <w:ind w:left="0" w:right="59" w:firstLine="0"/>
              <w:jc w:val="right"/>
            </w:pPr>
            <w:r>
              <w:rPr>
                <w:sz w:val="20"/>
              </w:rPr>
              <w:t xml:space="preserve">£139,469 </w:t>
            </w:r>
          </w:p>
        </w:tc>
        <w:tc>
          <w:tcPr>
            <w:tcW w:w="1418" w:type="dxa"/>
            <w:tcBorders>
              <w:top w:val="single" w:sz="4" w:space="0" w:color="000000"/>
              <w:left w:val="single" w:sz="4" w:space="0" w:color="000000"/>
              <w:bottom w:val="single" w:sz="4" w:space="0" w:color="000000"/>
              <w:right w:val="single" w:sz="4" w:space="0" w:color="000000"/>
            </w:tcBorders>
          </w:tcPr>
          <w:p w14:paraId="78A0292B" w14:textId="77777777" w:rsidR="002C26E2" w:rsidRDefault="00812CB4">
            <w:pPr>
              <w:spacing w:after="0" w:line="259" w:lineRule="auto"/>
              <w:ind w:left="0" w:right="58" w:firstLine="0"/>
              <w:jc w:val="right"/>
            </w:pPr>
            <w:r>
              <w:rPr>
                <w:sz w:val="20"/>
              </w:rPr>
              <w:t xml:space="preserve">£32,369 </w:t>
            </w:r>
          </w:p>
        </w:tc>
        <w:tc>
          <w:tcPr>
            <w:tcW w:w="1415" w:type="dxa"/>
            <w:tcBorders>
              <w:top w:val="single" w:sz="4" w:space="0" w:color="000000"/>
              <w:left w:val="single" w:sz="4" w:space="0" w:color="000000"/>
              <w:bottom w:val="single" w:sz="4" w:space="0" w:color="000000"/>
              <w:right w:val="single" w:sz="4" w:space="0" w:color="000000"/>
            </w:tcBorders>
          </w:tcPr>
          <w:p w14:paraId="33584870" w14:textId="77777777" w:rsidR="002C26E2" w:rsidRDefault="00812CB4">
            <w:pPr>
              <w:spacing w:after="0" w:line="259" w:lineRule="auto"/>
              <w:ind w:left="0" w:right="58" w:firstLine="0"/>
              <w:jc w:val="right"/>
            </w:pPr>
            <w:r>
              <w:rPr>
                <w:sz w:val="20"/>
              </w:rPr>
              <w:t xml:space="preserve">30.2% </w:t>
            </w:r>
          </w:p>
        </w:tc>
      </w:tr>
      <w:tr w:rsidR="002C26E2" w14:paraId="36CD78A2" w14:textId="77777777">
        <w:trPr>
          <w:trHeight w:val="516"/>
        </w:trPr>
        <w:tc>
          <w:tcPr>
            <w:tcW w:w="3681" w:type="dxa"/>
            <w:tcBorders>
              <w:top w:val="single" w:sz="4" w:space="0" w:color="000000"/>
              <w:left w:val="single" w:sz="4" w:space="0" w:color="000000"/>
              <w:bottom w:val="single" w:sz="4" w:space="0" w:color="000000"/>
              <w:right w:val="single" w:sz="4" w:space="0" w:color="000000"/>
            </w:tcBorders>
          </w:tcPr>
          <w:p w14:paraId="0FEAF469" w14:textId="77777777" w:rsidR="002C26E2" w:rsidRDefault="00812CB4">
            <w:pPr>
              <w:spacing w:after="0" w:line="259" w:lineRule="auto"/>
              <w:ind w:left="0" w:firstLine="0"/>
            </w:pPr>
            <w:r>
              <w:rPr>
                <w:sz w:val="20"/>
              </w:rPr>
              <w:t xml:space="preserve">President, Appeal Tribunal (NI) </w:t>
            </w:r>
          </w:p>
        </w:tc>
        <w:tc>
          <w:tcPr>
            <w:tcW w:w="1276" w:type="dxa"/>
            <w:tcBorders>
              <w:top w:val="single" w:sz="4" w:space="0" w:color="000000"/>
              <w:left w:val="single" w:sz="4" w:space="0" w:color="000000"/>
              <w:bottom w:val="single" w:sz="4" w:space="0" w:color="000000"/>
              <w:right w:val="single" w:sz="4" w:space="0" w:color="000000"/>
            </w:tcBorders>
          </w:tcPr>
          <w:p w14:paraId="43AF08AE" w14:textId="77777777" w:rsidR="002C26E2" w:rsidRDefault="00812CB4">
            <w:pPr>
              <w:spacing w:after="0" w:line="259" w:lineRule="auto"/>
              <w:ind w:left="0" w:right="58" w:firstLine="0"/>
              <w:jc w:val="right"/>
            </w:pPr>
            <w:r>
              <w:rPr>
                <w:sz w:val="20"/>
              </w:rPr>
              <w:t xml:space="preserve">£133,506 </w:t>
            </w:r>
          </w:p>
        </w:tc>
        <w:tc>
          <w:tcPr>
            <w:tcW w:w="1276" w:type="dxa"/>
            <w:tcBorders>
              <w:top w:val="single" w:sz="4" w:space="0" w:color="000000"/>
              <w:left w:val="single" w:sz="4" w:space="0" w:color="000000"/>
              <w:bottom w:val="single" w:sz="4" w:space="0" w:color="000000"/>
              <w:right w:val="single" w:sz="4" w:space="0" w:color="000000"/>
            </w:tcBorders>
          </w:tcPr>
          <w:p w14:paraId="2CECDF51" w14:textId="77777777" w:rsidR="002C26E2" w:rsidRDefault="00812CB4">
            <w:pPr>
              <w:spacing w:after="0" w:line="259" w:lineRule="auto"/>
              <w:ind w:left="0" w:right="59" w:firstLine="0"/>
              <w:jc w:val="right"/>
            </w:pPr>
            <w:r>
              <w:rPr>
                <w:sz w:val="20"/>
              </w:rPr>
              <w:t xml:space="preserve">£173,854 </w:t>
            </w:r>
          </w:p>
        </w:tc>
        <w:tc>
          <w:tcPr>
            <w:tcW w:w="1418" w:type="dxa"/>
            <w:tcBorders>
              <w:top w:val="single" w:sz="4" w:space="0" w:color="000000"/>
              <w:left w:val="single" w:sz="4" w:space="0" w:color="000000"/>
              <w:bottom w:val="single" w:sz="4" w:space="0" w:color="000000"/>
              <w:right w:val="single" w:sz="4" w:space="0" w:color="000000"/>
            </w:tcBorders>
          </w:tcPr>
          <w:p w14:paraId="163FF3AE" w14:textId="77777777" w:rsidR="002C26E2" w:rsidRDefault="00812CB4">
            <w:pPr>
              <w:spacing w:after="0" w:line="259" w:lineRule="auto"/>
              <w:ind w:left="0" w:right="58" w:firstLine="0"/>
              <w:jc w:val="right"/>
            </w:pPr>
            <w:r>
              <w:rPr>
                <w:sz w:val="20"/>
              </w:rPr>
              <w:t xml:space="preserve">£40,348 </w:t>
            </w:r>
          </w:p>
        </w:tc>
        <w:tc>
          <w:tcPr>
            <w:tcW w:w="1415" w:type="dxa"/>
            <w:tcBorders>
              <w:top w:val="single" w:sz="4" w:space="0" w:color="000000"/>
              <w:left w:val="single" w:sz="4" w:space="0" w:color="000000"/>
              <w:bottom w:val="single" w:sz="4" w:space="0" w:color="000000"/>
              <w:right w:val="single" w:sz="4" w:space="0" w:color="000000"/>
            </w:tcBorders>
          </w:tcPr>
          <w:p w14:paraId="2E74181A" w14:textId="77777777" w:rsidR="002C26E2" w:rsidRDefault="00812CB4">
            <w:pPr>
              <w:spacing w:after="0" w:line="259" w:lineRule="auto"/>
              <w:ind w:left="0" w:right="58" w:firstLine="0"/>
              <w:jc w:val="right"/>
            </w:pPr>
            <w:r>
              <w:rPr>
                <w:sz w:val="20"/>
              </w:rPr>
              <w:t xml:space="preserve">30.2% </w:t>
            </w:r>
          </w:p>
        </w:tc>
      </w:tr>
      <w:tr w:rsidR="002C26E2" w14:paraId="5D34A602" w14:textId="77777777">
        <w:trPr>
          <w:trHeight w:val="859"/>
        </w:trPr>
        <w:tc>
          <w:tcPr>
            <w:tcW w:w="3681" w:type="dxa"/>
            <w:tcBorders>
              <w:top w:val="single" w:sz="4" w:space="0" w:color="000000"/>
              <w:left w:val="single" w:sz="4" w:space="0" w:color="000000"/>
              <w:bottom w:val="single" w:sz="4" w:space="0" w:color="000000"/>
              <w:right w:val="single" w:sz="4" w:space="0" w:color="000000"/>
            </w:tcBorders>
          </w:tcPr>
          <w:p w14:paraId="3BA28C39" w14:textId="35700375" w:rsidR="002C26E2" w:rsidRDefault="00812CB4" w:rsidP="00554D9A">
            <w:pPr>
              <w:spacing w:after="96" w:line="259" w:lineRule="auto"/>
              <w:ind w:left="0" w:firstLine="0"/>
            </w:pPr>
            <w:r>
              <w:rPr>
                <w:sz w:val="20"/>
              </w:rPr>
              <w:t xml:space="preserve">Chief Social Security Commissioner </w:t>
            </w:r>
            <w:r>
              <w:rPr>
                <w:sz w:val="20"/>
              </w:rPr>
              <w:t xml:space="preserve">(NI) </w:t>
            </w:r>
          </w:p>
        </w:tc>
        <w:tc>
          <w:tcPr>
            <w:tcW w:w="1276" w:type="dxa"/>
            <w:tcBorders>
              <w:top w:val="single" w:sz="4" w:space="0" w:color="000000"/>
              <w:left w:val="single" w:sz="4" w:space="0" w:color="000000"/>
              <w:bottom w:val="single" w:sz="4" w:space="0" w:color="000000"/>
              <w:right w:val="single" w:sz="4" w:space="0" w:color="000000"/>
            </w:tcBorders>
            <w:vAlign w:val="bottom"/>
          </w:tcPr>
          <w:p w14:paraId="65EA3BAC" w14:textId="77777777" w:rsidR="002C26E2" w:rsidRDefault="00812CB4">
            <w:pPr>
              <w:spacing w:after="0" w:line="259" w:lineRule="auto"/>
              <w:ind w:left="0" w:right="58" w:firstLine="0"/>
              <w:jc w:val="right"/>
            </w:pPr>
            <w:r>
              <w:rPr>
                <w:sz w:val="20"/>
              </w:rPr>
              <w:t>£</w:t>
            </w:r>
            <w:r>
              <w:rPr>
                <w:sz w:val="20"/>
              </w:rPr>
              <w:t xml:space="preserve">144,172 </w:t>
            </w:r>
          </w:p>
        </w:tc>
        <w:tc>
          <w:tcPr>
            <w:tcW w:w="1276" w:type="dxa"/>
            <w:tcBorders>
              <w:top w:val="single" w:sz="4" w:space="0" w:color="000000"/>
              <w:left w:val="single" w:sz="4" w:space="0" w:color="000000"/>
              <w:bottom w:val="single" w:sz="4" w:space="0" w:color="000000"/>
              <w:right w:val="single" w:sz="4" w:space="0" w:color="000000"/>
            </w:tcBorders>
            <w:vAlign w:val="bottom"/>
          </w:tcPr>
          <w:p w14:paraId="660034EF" w14:textId="77777777" w:rsidR="002C26E2" w:rsidRDefault="00812CB4">
            <w:pPr>
              <w:spacing w:after="0" w:line="259" w:lineRule="auto"/>
              <w:ind w:left="0" w:right="59" w:firstLine="0"/>
              <w:jc w:val="right"/>
            </w:pPr>
            <w:r>
              <w:rPr>
                <w:sz w:val="20"/>
              </w:rPr>
              <w:t xml:space="preserve">£187,743 </w:t>
            </w:r>
          </w:p>
        </w:tc>
        <w:tc>
          <w:tcPr>
            <w:tcW w:w="1418" w:type="dxa"/>
            <w:tcBorders>
              <w:top w:val="single" w:sz="4" w:space="0" w:color="000000"/>
              <w:left w:val="single" w:sz="4" w:space="0" w:color="000000"/>
              <w:bottom w:val="single" w:sz="4" w:space="0" w:color="000000"/>
              <w:right w:val="single" w:sz="4" w:space="0" w:color="000000"/>
            </w:tcBorders>
            <w:vAlign w:val="bottom"/>
          </w:tcPr>
          <w:p w14:paraId="30FBB3E7" w14:textId="77777777" w:rsidR="002C26E2" w:rsidRDefault="00812CB4">
            <w:pPr>
              <w:spacing w:after="0" w:line="259" w:lineRule="auto"/>
              <w:ind w:left="0" w:right="58" w:firstLine="0"/>
              <w:jc w:val="right"/>
            </w:pPr>
            <w:r>
              <w:rPr>
                <w:sz w:val="20"/>
              </w:rPr>
              <w:t xml:space="preserve">£43,571 </w:t>
            </w:r>
          </w:p>
        </w:tc>
        <w:tc>
          <w:tcPr>
            <w:tcW w:w="1415" w:type="dxa"/>
            <w:tcBorders>
              <w:top w:val="single" w:sz="4" w:space="0" w:color="000000"/>
              <w:left w:val="single" w:sz="4" w:space="0" w:color="000000"/>
              <w:bottom w:val="single" w:sz="4" w:space="0" w:color="000000"/>
              <w:right w:val="single" w:sz="4" w:space="0" w:color="000000"/>
            </w:tcBorders>
            <w:vAlign w:val="bottom"/>
          </w:tcPr>
          <w:p w14:paraId="43318128" w14:textId="77777777" w:rsidR="002C26E2" w:rsidRDefault="00812CB4">
            <w:pPr>
              <w:spacing w:after="0" w:line="259" w:lineRule="auto"/>
              <w:ind w:left="0" w:right="58" w:firstLine="0"/>
              <w:jc w:val="right"/>
            </w:pPr>
            <w:r>
              <w:rPr>
                <w:sz w:val="20"/>
              </w:rPr>
              <w:t xml:space="preserve">30.2% </w:t>
            </w:r>
          </w:p>
        </w:tc>
      </w:tr>
      <w:tr w:rsidR="002C26E2" w14:paraId="0E2DE5F7" w14:textId="77777777">
        <w:trPr>
          <w:trHeight w:val="859"/>
        </w:trPr>
        <w:tc>
          <w:tcPr>
            <w:tcW w:w="3681" w:type="dxa"/>
            <w:tcBorders>
              <w:top w:val="single" w:sz="4" w:space="0" w:color="000000"/>
              <w:left w:val="single" w:sz="4" w:space="0" w:color="000000"/>
              <w:bottom w:val="single" w:sz="4" w:space="0" w:color="000000"/>
              <w:right w:val="single" w:sz="4" w:space="0" w:color="000000"/>
            </w:tcBorders>
          </w:tcPr>
          <w:p w14:paraId="4C9C4BE1" w14:textId="1E43AA75" w:rsidR="002C26E2" w:rsidRDefault="00812CB4" w:rsidP="00554D9A">
            <w:pPr>
              <w:spacing w:after="98" w:line="259" w:lineRule="auto"/>
              <w:ind w:left="0" w:firstLine="0"/>
            </w:pPr>
            <w:r>
              <w:rPr>
                <w:sz w:val="20"/>
              </w:rPr>
              <w:t xml:space="preserve">Social Security &amp; Child Support </w:t>
            </w:r>
            <w:r>
              <w:rPr>
                <w:sz w:val="20"/>
              </w:rPr>
              <w:t xml:space="preserve">Commissioner </w:t>
            </w:r>
          </w:p>
        </w:tc>
        <w:tc>
          <w:tcPr>
            <w:tcW w:w="1276" w:type="dxa"/>
            <w:tcBorders>
              <w:top w:val="single" w:sz="4" w:space="0" w:color="000000"/>
              <w:left w:val="single" w:sz="4" w:space="0" w:color="000000"/>
              <w:bottom w:val="single" w:sz="4" w:space="0" w:color="000000"/>
              <w:right w:val="single" w:sz="4" w:space="0" w:color="000000"/>
            </w:tcBorders>
            <w:vAlign w:val="bottom"/>
          </w:tcPr>
          <w:p w14:paraId="2317C4E4" w14:textId="77777777" w:rsidR="002C26E2" w:rsidRDefault="00812CB4">
            <w:pPr>
              <w:spacing w:after="0" w:line="259" w:lineRule="auto"/>
              <w:ind w:left="0" w:right="58" w:firstLine="0"/>
              <w:jc w:val="right"/>
            </w:pPr>
            <w:r>
              <w:rPr>
                <w:sz w:val="20"/>
              </w:rPr>
              <w:t>£</w:t>
            </w:r>
            <w:r>
              <w:rPr>
                <w:sz w:val="20"/>
              </w:rPr>
              <w:t xml:space="preserve">144,172 </w:t>
            </w:r>
          </w:p>
        </w:tc>
        <w:tc>
          <w:tcPr>
            <w:tcW w:w="1276" w:type="dxa"/>
            <w:tcBorders>
              <w:top w:val="single" w:sz="4" w:space="0" w:color="000000"/>
              <w:left w:val="single" w:sz="4" w:space="0" w:color="000000"/>
              <w:bottom w:val="single" w:sz="4" w:space="0" w:color="000000"/>
              <w:right w:val="single" w:sz="4" w:space="0" w:color="000000"/>
            </w:tcBorders>
            <w:vAlign w:val="bottom"/>
          </w:tcPr>
          <w:p w14:paraId="61E9239C" w14:textId="77777777" w:rsidR="002C26E2" w:rsidRDefault="00812CB4">
            <w:pPr>
              <w:spacing w:after="0" w:line="259" w:lineRule="auto"/>
              <w:ind w:left="0" w:right="59" w:firstLine="0"/>
              <w:jc w:val="right"/>
            </w:pPr>
            <w:r>
              <w:rPr>
                <w:sz w:val="20"/>
              </w:rPr>
              <w:t xml:space="preserve">£180,810 </w:t>
            </w:r>
          </w:p>
        </w:tc>
        <w:tc>
          <w:tcPr>
            <w:tcW w:w="1418" w:type="dxa"/>
            <w:tcBorders>
              <w:top w:val="single" w:sz="4" w:space="0" w:color="000000"/>
              <w:left w:val="single" w:sz="4" w:space="0" w:color="000000"/>
              <w:bottom w:val="single" w:sz="4" w:space="0" w:color="000000"/>
              <w:right w:val="single" w:sz="4" w:space="0" w:color="000000"/>
            </w:tcBorders>
            <w:vAlign w:val="bottom"/>
          </w:tcPr>
          <w:p w14:paraId="48080E22" w14:textId="77777777" w:rsidR="002C26E2" w:rsidRDefault="00812CB4">
            <w:pPr>
              <w:spacing w:after="0" w:line="259" w:lineRule="auto"/>
              <w:ind w:left="0" w:right="58" w:firstLine="0"/>
              <w:jc w:val="right"/>
            </w:pPr>
            <w:r>
              <w:rPr>
                <w:sz w:val="20"/>
              </w:rPr>
              <w:t xml:space="preserve">£36,638 </w:t>
            </w:r>
          </w:p>
        </w:tc>
        <w:tc>
          <w:tcPr>
            <w:tcW w:w="1415" w:type="dxa"/>
            <w:tcBorders>
              <w:top w:val="single" w:sz="4" w:space="0" w:color="000000"/>
              <w:left w:val="single" w:sz="4" w:space="0" w:color="000000"/>
              <w:bottom w:val="single" w:sz="4" w:space="0" w:color="000000"/>
              <w:right w:val="single" w:sz="4" w:space="0" w:color="000000"/>
            </w:tcBorders>
            <w:vAlign w:val="bottom"/>
          </w:tcPr>
          <w:p w14:paraId="78130EDB" w14:textId="77777777" w:rsidR="002C26E2" w:rsidRDefault="00812CB4">
            <w:pPr>
              <w:spacing w:after="0" w:line="259" w:lineRule="auto"/>
              <w:ind w:left="0" w:right="58" w:firstLine="0"/>
              <w:jc w:val="right"/>
            </w:pPr>
            <w:r>
              <w:rPr>
                <w:sz w:val="20"/>
              </w:rPr>
              <w:t xml:space="preserve">25.4% </w:t>
            </w:r>
          </w:p>
        </w:tc>
      </w:tr>
      <w:tr w:rsidR="002C26E2" w14:paraId="3C55E78D" w14:textId="77777777">
        <w:trPr>
          <w:trHeight w:val="860"/>
        </w:trPr>
        <w:tc>
          <w:tcPr>
            <w:tcW w:w="3681" w:type="dxa"/>
            <w:tcBorders>
              <w:top w:val="single" w:sz="4" w:space="0" w:color="000000"/>
              <w:left w:val="single" w:sz="4" w:space="0" w:color="000000"/>
              <w:bottom w:val="single" w:sz="4" w:space="0" w:color="000000"/>
              <w:right w:val="single" w:sz="4" w:space="0" w:color="000000"/>
            </w:tcBorders>
          </w:tcPr>
          <w:p w14:paraId="3EE06E79" w14:textId="254163C4" w:rsidR="002C26E2" w:rsidRDefault="00812CB4" w:rsidP="00554D9A">
            <w:pPr>
              <w:spacing w:after="98" w:line="259" w:lineRule="auto"/>
              <w:ind w:left="0" w:firstLine="0"/>
            </w:pPr>
            <w:r>
              <w:rPr>
                <w:sz w:val="20"/>
              </w:rPr>
              <w:t xml:space="preserve">President, Industrial &amp; Fair </w:t>
            </w:r>
            <w:r>
              <w:rPr>
                <w:sz w:val="20"/>
              </w:rPr>
              <w:t xml:space="preserve">Employment Tribunals (NI) </w:t>
            </w:r>
          </w:p>
        </w:tc>
        <w:tc>
          <w:tcPr>
            <w:tcW w:w="1276" w:type="dxa"/>
            <w:tcBorders>
              <w:top w:val="single" w:sz="4" w:space="0" w:color="000000"/>
              <w:left w:val="single" w:sz="4" w:space="0" w:color="000000"/>
              <w:bottom w:val="single" w:sz="4" w:space="0" w:color="000000"/>
              <w:right w:val="single" w:sz="4" w:space="0" w:color="000000"/>
            </w:tcBorders>
            <w:vAlign w:val="bottom"/>
          </w:tcPr>
          <w:p w14:paraId="42FAFF6F" w14:textId="77777777" w:rsidR="002C26E2" w:rsidRDefault="00812CB4">
            <w:pPr>
              <w:spacing w:after="0" w:line="259" w:lineRule="auto"/>
              <w:ind w:left="0" w:right="58" w:firstLine="0"/>
              <w:jc w:val="right"/>
            </w:pPr>
            <w:r>
              <w:rPr>
                <w:sz w:val="20"/>
              </w:rPr>
              <w:t>£</w:t>
            </w:r>
            <w:r>
              <w:rPr>
                <w:sz w:val="20"/>
              </w:rPr>
              <w:t xml:space="preserve">133,506 </w:t>
            </w:r>
          </w:p>
        </w:tc>
        <w:tc>
          <w:tcPr>
            <w:tcW w:w="1276" w:type="dxa"/>
            <w:tcBorders>
              <w:top w:val="single" w:sz="4" w:space="0" w:color="000000"/>
              <w:left w:val="single" w:sz="4" w:space="0" w:color="000000"/>
              <w:bottom w:val="single" w:sz="4" w:space="0" w:color="000000"/>
              <w:right w:val="single" w:sz="4" w:space="0" w:color="000000"/>
            </w:tcBorders>
            <w:vAlign w:val="bottom"/>
          </w:tcPr>
          <w:p w14:paraId="3226193F" w14:textId="77777777" w:rsidR="002C26E2" w:rsidRDefault="00812CB4">
            <w:pPr>
              <w:spacing w:after="0" w:line="259" w:lineRule="auto"/>
              <w:ind w:left="0" w:right="59" w:firstLine="0"/>
              <w:jc w:val="right"/>
            </w:pPr>
            <w:r>
              <w:rPr>
                <w:sz w:val="20"/>
              </w:rPr>
              <w:t xml:space="preserve">£173,854 </w:t>
            </w:r>
          </w:p>
        </w:tc>
        <w:tc>
          <w:tcPr>
            <w:tcW w:w="1418" w:type="dxa"/>
            <w:tcBorders>
              <w:top w:val="single" w:sz="4" w:space="0" w:color="000000"/>
              <w:left w:val="single" w:sz="4" w:space="0" w:color="000000"/>
              <w:bottom w:val="single" w:sz="4" w:space="0" w:color="000000"/>
              <w:right w:val="single" w:sz="4" w:space="0" w:color="000000"/>
            </w:tcBorders>
            <w:vAlign w:val="bottom"/>
          </w:tcPr>
          <w:p w14:paraId="7AA34A25" w14:textId="77777777" w:rsidR="002C26E2" w:rsidRDefault="00812CB4">
            <w:pPr>
              <w:spacing w:after="0" w:line="259" w:lineRule="auto"/>
              <w:ind w:left="0" w:right="58" w:firstLine="0"/>
              <w:jc w:val="right"/>
            </w:pPr>
            <w:r>
              <w:rPr>
                <w:sz w:val="20"/>
              </w:rPr>
              <w:t xml:space="preserve">£40,348 </w:t>
            </w:r>
          </w:p>
        </w:tc>
        <w:tc>
          <w:tcPr>
            <w:tcW w:w="1415" w:type="dxa"/>
            <w:tcBorders>
              <w:top w:val="single" w:sz="4" w:space="0" w:color="000000"/>
              <w:left w:val="single" w:sz="4" w:space="0" w:color="000000"/>
              <w:bottom w:val="single" w:sz="4" w:space="0" w:color="000000"/>
              <w:right w:val="single" w:sz="4" w:space="0" w:color="000000"/>
            </w:tcBorders>
            <w:vAlign w:val="bottom"/>
          </w:tcPr>
          <w:p w14:paraId="6560597C" w14:textId="77777777" w:rsidR="002C26E2" w:rsidRDefault="00812CB4">
            <w:pPr>
              <w:spacing w:after="0" w:line="259" w:lineRule="auto"/>
              <w:ind w:left="0" w:right="58" w:firstLine="0"/>
              <w:jc w:val="right"/>
            </w:pPr>
            <w:r>
              <w:rPr>
                <w:sz w:val="20"/>
              </w:rPr>
              <w:t xml:space="preserve">30.2% </w:t>
            </w:r>
          </w:p>
        </w:tc>
      </w:tr>
      <w:tr w:rsidR="002C26E2" w14:paraId="2217932B" w14:textId="77777777">
        <w:trPr>
          <w:trHeight w:val="862"/>
        </w:trPr>
        <w:tc>
          <w:tcPr>
            <w:tcW w:w="3681" w:type="dxa"/>
            <w:tcBorders>
              <w:top w:val="single" w:sz="4" w:space="0" w:color="000000"/>
              <w:left w:val="single" w:sz="4" w:space="0" w:color="000000"/>
              <w:bottom w:val="single" w:sz="4" w:space="0" w:color="000000"/>
              <w:right w:val="single" w:sz="4" w:space="0" w:color="000000"/>
            </w:tcBorders>
          </w:tcPr>
          <w:p w14:paraId="2713D510" w14:textId="589D1BE3" w:rsidR="002C26E2" w:rsidRDefault="00812CB4" w:rsidP="00554D9A">
            <w:pPr>
              <w:spacing w:after="96" w:line="259" w:lineRule="auto"/>
              <w:ind w:left="0" w:firstLine="0"/>
            </w:pPr>
            <w:r>
              <w:rPr>
                <w:sz w:val="20"/>
              </w:rPr>
              <w:t xml:space="preserve">Vice President, Industrial &amp; Fair </w:t>
            </w:r>
            <w:r>
              <w:rPr>
                <w:sz w:val="20"/>
              </w:rPr>
              <w:t xml:space="preserve">Employment Tribunals (NI) </w:t>
            </w:r>
          </w:p>
        </w:tc>
        <w:tc>
          <w:tcPr>
            <w:tcW w:w="1276" w:type="dxa"/>
            <w:tcBorders>
              <w:top w:val="single" w:sz="4" w:space="0" w:color="000000"/>
              <w:left w:val="single" w:sz="4" w:space="0" w:color="000000"/>
              <w:bottom w:val="single" w:sz="4" w:space="0" w:color="000000"/>
              <w:right w:val="single" w:sz="4" w:space="0" w:color="000000"/>
            </w:tcBorders>
            <w:vAlign w:val="bottom"/>
          </w:tcPr>
          <w:p w14:paraId="3EE1878D" w14:textId="77777777" w:rsidR="002C26E2" w:rsidRDefault="00812CB4">
            <w:pPr>
              <w:spacing w:after="0" w:line="259" w:lineRule="auto"/>
              <w:ind w:left="0" w:right="58" w:firstLine="0"/>
              <w:jc w:val="right"/>
            </w:pPr>
            <w:r>
              <w:rPr>
                <w:sz w:val="20"/>
              </w:rPr>
              <w:t>£</w:t>
            </w:r>
            <w:r>
              <w:rPr>
                <w:sz w:val="20"/>
              </w:rPr>
              <w:t xml:space="preserve">125,689 </w:t>
            </w:r>
          </w:p>
        </w:tc>
        <w:tc>
          <w:tcPr>
            <w:tcW w:w="1276" w:type="dxa"/>
            <w:tcBorders>
              <w:top w:val="single" w:sz="4" w:space="0" w:color="000000"/>
              <w:left w:val="single" w:sz="4" w:space="0" w:color="000000"/>
              <w:bottom w:val="single" w:sz="4" w:space="0" w:color="000000"/>
              <w:right w:val="single" w:sz="4" w:space="0" w:color="000000"/>
            </w:tcBorders>
            <w:vAlign w:val="bottom"/>
          </w:tcPr>
          <w:p w14:paraId="6D1A03A9" w14:textId="77777777" w:rsidR="002C26E2" w:rsidRDefault="00812CB4">
            <w:pPr>
              <w:spacing w:after="0" w:line="259" w:lineRule="auto"/>
              <w:ind w:left="0" w:right="59" w:firstLine="0"/>
              <w:jc w:val="right"/>
            </w:pPr>
            <w:r>
              <w:rPr>
                <w:sz w:val="20"/>
              </w:rPr>
              <w:t xml:space="preserve">£163,675 </w:t>
            </w:r>
          </w:p>
        </w:tc>
        <w:tc>
          <w:tcPr>
            <w:tcW w:w="1418" w:type="dxa"/>
            <w:tcBorders>
              <w:top w:val="single" w:sz="4" w:space="0" w:color="000000"/>
              <w:left w:val="single" w:sz="4" w:space="0" w:color="000000"/>
              <w:bottom w:val="single" w:sz="4" w:space="0" w:color="000000"/>
              <w:right w:val="single" w:sz="4" w:space="0" w:color="000000"/>
            </w:tcBorders>
            <w:vAlign w:val="bottom"/>
          </w:tcPr>
          <w:p w14:paraId="1A0B69A0" w14:textId="77777777" w:rsidR="002C26E2" w:rsidRDefault="00812CB4">
            <w:pPr>
              <w:spacing w:after="0" w:line="259" w:lineRule="auto"/>
              <w:ind w:left="0" w:right="58" w:firstLine="0"/>
              <w:jc w:val="right"/>
            </w:pPr>
            <w:r>
              <w:rPr>
                <w:sz w:val="20"/>
              </w:rPr>
              <w:t xml:space="preserve">£37,986 </w:t>
            </w:r>
          </w:p>
        </w:tc>
        <w:tc>
          <w:tcPr>
            <w:tcW w:w="1415" w:type="dxa"/>
            <w:tcBorders>
              <w:top w:val="single" w:sz="4" w:space="0" w:color="000000"/>
              <w:left w:val="single" w:sz="4" w:space="0" w:color="000000"/>
              <w:bottom w:val="single" w:sz="4" w:space="0" w:color="000000"/>
              <w:right w:val="single" w:sz="4" w:space="0" w:color="000000"/>
            </w:tcBorders>
            <w:vAlign w:val="bottom"/>
          </w:tcPr>
          <w:p w14:paraId="42DFE316" w14:textId="77777777" w:rsidR="002C26E2" w:rsidRDefault="00812CB4">
            <w:pPr>
              <w:spacing w:after="0" w:line="259" w:lineRule="auto"/>
              <w:ind w:left="0" w:right="58" w:firstLine="0"/>
              <w:jc w:val="right"/>
            </w:pPr>
            <w:r>
              <w:rPr>
                <w:sz w:val="20"/>
              </w:rPr>
              <w:t xml:space="preserve">30.2% </w:t>
            </w:r>
          </w:p>
        </w:tc>
      </w:tr>
    </w:tbl>
    <w:p w14:paraId="7D7599BB" w14:textId="24EF1FED" w:rsidR="002C26E2" w:rsidRDefault="002C26E2" w:rsidP="00554D9A">
      <w:pPr>
        <w:spacing w:after="120" w:line="259" w:lineRule="auto"/>
        <w:ind w:left="12" w:firstLine="0"/>
      </w:pPr>
    </w:p>
    <w:p w14:paraId="23979538" w14:textId="77777777" w:rsidR="002C26E2" w:rsidRDefault="00812CB4">
      <w:pPr>
        <w:spacing w:after="117" w:line="259" w:lineRule="auto"/>
        <w:ind w:left="7" w:right="220"/>
      </w:pPr>
      <w:r>
        <w:rPr>
          <w:color w:val="0A0A0A"/>
        </w:rPr>
        <w:t xml:space="preserve">The judicial salaries in Northern Ireland for the </w:t>
      </w:r>
      <w:r>
        <w:rPr>
          <w:b/>
          <w:color w:val="0A0A0A"/>
        </w:rPr>
        <w:t>2025–2026</w:t>
      </w:r>
      <w:r>
        <w:rPr>
          <w:color w:val="0A0A0A"/>
        </w:rPr>
        <w:t xml:space="preserve"> financial year (effective 1 </w:t>
      </w:r>
    </w:p>
    <w:p w14:paraId="0944499B" w14:textId="77777777" w:rsidR="002C26E2" w:rsidRDefault="00812CB4">
      <w:pPr>
        <w:spacing w:after="272"/>
        <w:ind w:left="7" w:right="225"/>
      </w:pPr>
      <w:r>
        <w:rPr>
          <w:color w:val="0A0A0A"/>
        </w:rPr>
        <w:t xml:space="preserve">April 2025) follow the rates set by the Department of Justice and the Senior Salaries Review Body.  </w:t>
      </w:r>
      <w:r>
        <w:t xml:space="preserve">While the salary increases from 2016 to 2025 vary between the different positions, the average of all the increases shown above, across the different roles, is 29.5%. </w:t>
      </w:r>
    </w:p>
    <w:p w14:paraId="1BC884FF" w14:textId="77777777" w:rsidR="002C26E2" w:rsidRDefault="00812CB4">
      <w:pPr>
        <w:spacing w:after="448"/>
        <w:ind w:left="7" w:right="225"/>
      </w:pPr>
      <w:r>
        <w:t>Judicial salaries provide a relevant upper-</w:t>
      </w:r>
      <w:r>
        <w:t xml:space="preserve">range comparator given the level of responsibility and skill required, while remaining within the publicly funded justice system. </w:t>
      </w:r>
    </w:p>
    <w:p w14:paraId="76A2DB43" w14:textId="77777777" w:rsidR="002C26E2" w:rsidRDefault="00812CB4">
      <w:pPr>
        <w:pStyle w:val="Heading2"/>
        <w:spacing w:after="111"/>
        <w:ind w:left="849" w:hanging="852"/>
      </w:pPr>
      <w:bookmarkStart w:id="37" w:name="_Toc107575"/>
      <w:r>
        <w:rPr>
          <w:sz w:val="28"/>
        </w:rPr>
        <w:t>O</w:t>
      </w:r>
      <w:r>
        <w:t xml:space="preserve">THER </w:t>
      </w:r>
      <w:r>
        <w:rPr>
          <w:sz w:val="28"/>
        </w:rPr>
        <w:t>C</w:t>
      </w:r>
      <w:r>
        <w:t xml:space="preserve">OMPARATORS REFERRED TO IN THE </w:t>
      </w:r>
      <w:r>
        <w:rPr>
          <w:sz w:val="28"/>
        </w:rPr>
        <w:t>CBA</w:t>
      </w:r>
      <w:r>
        <w:t xml:space="preserve"> </w:t>
      </w:r>
      <w:r>
        <w:rPr>
          <w:sz w:val="28"/>
        </w:rPr>
        <w:t>S</w:t>
      </w:r>
      <w:r>
        <w:t>UBMISSIONS</w:t>
      </w:r>
      <w:r>
        <w:rPr>
          <w:sz w:val="28"/>
        </w:rPr>
        <w:t xml:space="preserve">. </w:t>
      </w:r>
      <w:bookmarkEnd w:id="37"/>
    </w:p>
    <w:p w14:paraId="60C2951F" w14:textId="77777777" w:rsidR="002C26E2" w:rsidRDefault="00812CB4">
      <w:pPr>
        <w:ind w:left="7" w:right="225"/>
      </w:pPr>
      <w:r>
        <w:t xml:space="preserve">We have considered other potential comparators in the section titled </w:t>
      </w:r>
      <w:r>
        <w:rPr>
          <w:b/>
        </w:rPr>
        <w:t>Comparators</w:t>
      </w:r>
      <w:r>
        <w:t xml:space="preserve">, contained within this Report.  </w:t>
      </w:r>
    </w:p>
    <w:p w14:paraId="23DFA2CD" w14:textId="77777777" w:rsidR="002C26E2" w:rsidRDefault="00812CB4">
      <w:pPr>
        <w:pStyle w:val="Heading2"/>
        <w:ind w:left="849" w:hanging="852"/>
      </w:pPr>
      <w:bookmarkStart w:id="38" w:name="_Toc107576"/>
      <w:r>
        <w:rPr>
          <w:sz w:val="28"/>
        </w:rPr>
        <w:t>C</w:t>
      </w:r>
      <w:r>
        <w:t xml:space="preserve">ONCLUSIONS </w:t>
      </w:r>
      <w:r>
        <w:rPr>
          <w:sz w:val="28"/>
        </w:rPr>
        <w:t>&amp;</w:t>
      </w:r>
      <w:r>
        <w:t xml:space="preserve"> </w:t>
      </w:r>
      <w:r>
        <w:rPr>
          <w:sz w:val="28"/>
        </w:rPr>
        <w:t>R</w:t>
      </w:r>
      <w:r>
        <w:t>ECOMMENDATIONS</w:t>
      </w:r>
      <w:r>
        <w:rPr>
          <w:sz w:val="28"/>
        </w:rPr>
        <w:t xml:space="preserve"> </w:t>
      </w:r>
      <w:bookmarkEnd w:id="38"/>
    </w:p>
    <w:p w14:paraId="55755276" w14:textId="77777777" w:rsidR="002C26E2" w:rsidRDefault="00812CB4">
      <w:pPr>
        <w:spacing w:after="229" w:line="265" w:lineRule="auto"/>
        <w:ind w:left="7"/>
      </w:pPr>
      <w:r>
        <w:rPr>
          <w:u w:val="single" w:color="000000"/>
        </w:rPr>
        <w:t>Conclusions</w:t>
      </w:r>
      <w:r>
        <w:t xml:space="preserve"> </w:t>
      </w:r>
    </w:p>
    <w:p w14:paraId="10E9575B" w14:textId="77777777" w:rsidR="002C26E2" w:rsidRDefault="00812CB4">
      <w:pPr>
        <w:spacing w:after="112"/>
        <w:ind w:left="7" w:right="225"/>
      </w:pPr>
      <w:r>
        <w:t xml:space="preserve">Having considered both general price inflation and wage-based comparators, the Review Team concludes that: </w:t>
      </w:r>
    </w:p>
    <w:p w14:paraId="62C8F368" w14:textId="77777777" w:rsidR="002C26E2" w:rsidRDefault="00812CB4">
      <w:pPr>
        <w:numPr>
          <w:ilvl w:val="0"/>
          <w:numId w:val="27"/>
        </w:numPr>
        <w:spacing w:after="112"/>
        <w:ind w:right="225" w:hanging="355"/>
      </w:pPr>
      <w:r>
        <w:t xml:space="preserve">General inflation measures are </w:t>
      </w:r>
      <w:r>
        <w:rPr>
          <w:b/>
        </w:rPr>
        <w:t>too volatile and imprecise</w:t>
      </w:r>
      <w:r>
        <w:t xml:space="preserve"> to provide a sound basis for fee determination within this Accelerated Review. </w:t>
      </w:r>
    </w:p>
    <w:p w14:paraId="522EC335" w14:textId="77777777" w:rsidR="002C26E2" w:rsidRDefault="00812CB4">
      <w:pPr>
        <w:numPr>
          <w:ilvl w:val="0"/>
          <w:numId w:val="27"/>
        </w:numPr>
        <w:spacing w:after="112"/>
        <w:ind w:right="225" w:hanging="355"/>
      </w:pPr>
      <w:r>
        <w:t xml:space="preserve">Wage inflation in comparable public-sector professions provides a </w:t>
      </w:r>
      <w:r>
        <w:rPr>
          <w:b/>
        </w:rPr>
        <w:t>more stable, objective, and defensible benchmark</w:t>
      </w:r>
      <w:r>
        <w:t xml:space="preserve">. </w:t>
      </w:r>
    </w:p>
    <w:p w14:paraId="6703ADB4" w14:textId="77777777" w:rsidR="002C26E2" w:rsidRDefault="00812CB4">
      <w:pPr>
        <w:numPr>
          <w:ilvl w:val="0"/>
          <w:numId w:val="27"/>
        </w:numPr>
        <w:spacing w:after="111"/>
        <w:ind w:right="225" w:hanging="355"/>
      </w:pPr>
      <w:r>
        <w:t>The appropriate reference range for uplift therefore lies between the Senior Civil Service average (</w:t>
      </w:r>
      <w:r>
        <w:rPr>
          <w:b/>
        </w:rPr>
        <w:t>22.6%</w:t>
      </w:r>
      <w:r>
        <w:t>) and the Judiciary average (</w:t>
      </w:r>
      <w:r>
        <w:rPr>
          <w:b/>
        </w:rPr>
        <w:t>29.5%</w:t>
      </w:r>
      <w:r>
        <w:t xml:space="preserve">). </w:t>
      </w:r>
    </w:p>
    <w:p w14:paraId="132BD059" w14:textId="77777777" w:rsidR="002C26E2" w:rsidRDefault="00812CB4">
      <w:pPr>
        <w:spacing w:line="259" w:lineRule="auto"/>
        <w:ind w:left="7" w:right="225"/>
      </w:pPr>
      <w:r>
        <w:t xml:space="preserve">This approach aligns with the statutory criteria by balancing: </w:t>
      </w:r>
    </w:p>
    <w:p w14:paraId="12E4A6C6" w14:textId="77777777" w:rsidR="002C26E2" w:rsidRDefault="00812CB4">
      <w:pPr>
        <w:numPr>
          <w:ilvl w:val="0"/>
          <w:numId w:val="27"/>
        </w:numPr>
        <w:spacing w:line="259" w:lineRule="auto"/>
        <w:ind w:right="225" w:hanging="355"/>
      </w:pPr>
      <w:r>
        <w:t xml:space="preserve">Fair remuneration </w:t>
      </w:r>
    </w:p>
    <w:p w14:paraId="68DEB57F" w14:textId="77777777" w:rsidR="002C26E2" w:rsidRDefault="00812CB4">
      <w:pPr>
        <w:numPr>
          <w:ilvl w:val="0"/>
          <w:numId w:val="27"/>
        </w:numPr>
        <w:spacing w:line="259" w:lineRule="auto"/>
        <w:ind w:right="225" w:hanging="355"/>
      </w:pPr>
      <w:r>
        <w:t xml:space="preserve">Cost to public funds </w:t>
      </w:r>
    </w:p>
    <w:p w14:paraId="42E5B27C" w14:textId="77777777" w:rsidR="002C26E2" w:rsidRDefault="00812CB4">
      <w:pPr>
        <w:numPr>
          <w:ilvl w:val="0"/>
          <w:numId w:val="27"/>
        </w:numPr>
        <w:spacing w:after="355" w:line="259" w:lineRule="auto"/>
        <w:ind w:right="225" w:hanging="355"/>
      </w:pPr>
      <w:r>
        <w:t xml:space="preserve">Value for money </w:t>
      </w:r>
    </w:p>
    <w:p w14:paraId="00FD27BA" w14:textId="77777777" w:rsidR="002C26E2" w:rsidRDefault="00812CB4">
      <w:pPr>
        <w:spacing w:after="231" w:line="265" w:lineRule="auto"/>
        <w:ind w:left="7"/>
      </w:pPr>
      <w:r>
        <w:rPr>
          <w:u w:val="single" w:color="000000"/>
        </w:rPr>
        <w:t>Recommendations</w:t>
      </w:r>
      <w:r>
        <w:rPr>
          <w:b/>
        </w:rPr>
        <w:t xml:space="preserve"> </w:t>
      </w:r>
    </w:p>
    <w:p w14:paraId="0AE9B489" w14:textId="77777777" w:rsidR="002C26E2" w:rsidRDefault="00812CB4">
      <w:pPr>
        <w:spacing w:after="112"/>
        <w:ind w:left="7" w:right="225"/>
      </w:pPr>
      <w:r>
        <w:t>As a result of these challenges, we have concluded that, for the purpose of this Accelerated Review only and without prejudice to any future reviews, the most appropriate measure for an increase to the standard fees is to benchmark across comparable sectors, specifically the NI Senior Civil Service and the NI Judiciary</w:t>
      </w:r>
      <w:r>
        <w:rPr>
          <w:rFonts w:ascii="Times New Roman" w:eastAsia="Times New Roman" w:hAnsi="Times New Roman" w:cs="Times New Roman"/>
        </w:rPr>
        <w:t xml:space="preserve">. </w:t>
      </w:r>
    </w:p>
    <w:p w14:paraId="42BF9475" w14:textId="77777777" w:rsidR="002C26E2" w:rsidRDefault="00812CB4">
      <w:pPr>
        <w:spacing w:after="111"/>
        <w:ind w:left="7" w:right="225"/>
      </w:pPr>
      <w:r>
        <w:t xml:space="preserve">We have summarised, in the table below, the analysis of the wage increases in each sector, as detailed above. </w:t>
      </w:r>
    </w:p>
    <w:tbl>
      <w:tblPr>
        <w:tblStyle w:val="TableGrid"/>
        <w:tblW w:w="7506" w:type="dxa"/>
        <w:tblInd w:w="18" w:type="dxa"/>
        <w:tblCellMar>
          <w:top w:w="49" w:type="dxa"/>
          <w:left w:w="107" w:type="dxa"/>
          <w:bottom w:w="0" w:type="dxa"/>
          <w:right w:w="115" w:type="dxa"/>
        </w:tblCellMar>
        <w:tblLook w:val="04A0" w:firstRow="1" w:lastRow="0" w:firstColumn="1" w:lastColumn="0" w:noHBand="0" w:noVBand="1"/>
      </w:tblPr>
      <w:tblGrid>
        <w:gridCol w:w="3004"/>
        <w:gridCol w:w="4502"/>
      </w:tblGrid>
      <w:tr w:rsidR="002C26E2" w14:paraId="1BCBFED8" w14:textId="77777777" w:rsidTr="00554D9A">
        <w:trPr>
          <w:trHeight w:val="662"/>
        </w:trPr>
        <w:tc>
          <w:tcPr>
            <w:tcW w:w="3004" w:type="dxa"/>
            <w:tcBorders>
              <w:top w:val="single" w:sz="4" w:space="0" w:color="000000"/>
              <w:left w:val="single" w:sz="4" w:space="0" w:color="000000"/>
              <w:bottom w:val="single" w:sz="4" w:space="0" w:color="000000"/>
              <w:right w:val="single" w:sz="4" w:space="0" w:color="000000"/>
            </w:tcBorders>
            <w:shd w:val="clear" w:color="auto" w:fill="424996"/>
          </w:tcPr>
          <w:p w14:paraId="3BF8C432" w14:textId="04A87D46" w:rsidR="002C26E2" w:rsidRDefault="00812CB4" w:rsidP="00554D9A">
            <w:pPr>
              <w:spacing w:after="0" w:line="240" w:lineRule="auto"/>
              <w:ind w:left="0" w:firstLine="0"/>
            </w:pPr>
            <w:r>
              <w:t xml:space="preserve"> </w:t>
            </w:r>
            <w:r>
              <w:rPr>
                <w:color w:val="FFFFFF"/>
                <w:sz w:val="22"/>
              </w:rPr>
              <w:t xml:space="preserve"> </w:t>
            </w:r>
          </w:p>
        </w:tc>
        <w:tc>
          <w:tcPr>
            <w:tcW w:w="4502" w:type="dxa"/>
            <w:tcBorders>
              <w:top w:val="single" w:sz="4" w:space="0" w:color="000000"/>
              <w:left w:val="single" w:sz="4" w:space="0" w:color="000000"/>
              <w:bottom w:val="single" w:sz="4" w:space="0" w:color="000000"/>
              <w:right w:val="single" w:sz="4" w:space="0" w:color="000000"/>
            </w:tcBorders>
            <w:shd w:val="clear" w:color="auto" w:fill="424996"/>
          </w:tcPr>
          <w:p w14:paraId="518B80EA" w14:textId="77777777" w:rsidR="002C26E2" w:rsidRDefault="00812CB4" w:rsidP="00554D9A">
            <w:pPr>
              <w:spacing w:after="107" w:line="240" w:lineRule="auto"/>
              <w:ind w:left="1" w:firstLine="0"/>
            </w:pPr>
            <w:r>
              <w:rPr>
                <w:color w:val="FFFFFF"/>
                <w:sz w:val="22"/>
              </w:rPr>
              <w:t xml:space="preserve">Average Percentage Increase from 2016 to </w:t>
            </w:r>
          </w:p>
          <w:p w14:paraId="6FDD672C" w14:textId="77777777" w:rsidR="002C26E2" w:rsidRDefault="00812CB4" w:rsidP="00554D9A">
            <w:pPr>
              <w:spacing w:after="0" w:line="240" w:lineRule="auto"/>
              <w:ind w:left="1" w:firstLine="0"/>
            </w:pPr>
            <w:r>
              <w:rPr>
                <w:color w:val="FFFFFF"/>
                <w:sz w:val="22"/>
              </w:rPr>
              <w:t xml:space="preserve">2025/26 </w:t>
            </w:r>
          </w:p>
        </w:tc>
      </w:tr>
      <w:tr w:rsidR="002C26E2" w14:paraId="533309AB" w14:textId="77777777">
        <w:trPr>
          <w:trHeight w:val="551"/>
        </w:trPr>
        <w:tc>
          <w:tcPr>
            <w:tcW w:w="3004" w:type="dxa"/>
            <w:tcBorders>
              <w:top w:val="single" w:sz="4" w:space="0" w:color="000000"/>
              <w:left w:val="single" w:sz="4" w:space="0" w:color="000000"/>
              <w:bottom w:val="single" w:sz="4" w:space="0" w:color="000000"/>
              <w:right w:val="single" w:sz="4" w:space="0" w:color="000000"/>
            </w:tcBorders>
          </w:tcPr>
          <w:p w14:paraId="7BFC61AF" w14:textId="77777777" w:rsidR="002C26E2" w:rsidRDefault="00812CB4">
            <w:pPr>
              <w:spacing w:after="0" w:line="259" w:lineRule="auto"/>
              <w:ind w:left="0" w:firstLine="0"/>
            </w:pPr>
            <w:r>
              <w:rPr>
                <w:sz w:val="22"/>
              </w:rPr>
              <w:t xml:space="preserve">NI Senior Civil Service </w:t>
            </w:r>
          </w:p>
        </w:tc>
        <w:tc>
          <w:tcPr>
            <w:tcW w:w="4502" w:type="dxa"/>
            <w:tcBorders>
              <w:top w:val="single" w:sz="4" w:space="0" w:color="000000"/>
              <w:left w:val="single" w:sz="4" w:space="0" w:color="000000"/>
              <w:bottom w:val="single" w:sz="4" w:space="0" w:color="000000"/>
              <w:right w:val="single" w:sz="4" w:space="0" w:color="000000"/>
            </w:tcBorders>
          </w:tcPr>
          <w:p w14:paraId="1C3C5FC7" w14:textId="77777777" w:rsidR="002C26E2" w:rsidRDefault="00812CB4">
            <w:pPr>
              <w:spacing w:after="0" w:line="259" w:lineRule="auto"/>
              <w:ind w:left="1" w:firstLine="0"/>
            </w:pPr>
            <w:r>
              <w:rPr>
                <w:sz w:val="22"/>
              </w:rPr>
              <w:t xml:space="preserve">22.6% </w:t>
            </w:r>
          </w:p>
        </w:tc>
      </w:tr>
      <w:tr w:rsidR="002C26E2" w14:paraId="72F911E1" w14:textId="77777777">
        <w:trPr>
          <w:trHeight w:val="550"/>
        </w:trPr>
        <w:tc>
          <w:tcPr>
            <w:tcW w:w="3004" w:type="dxa"/>
            <w:tcBorders>
              <w:top w:val="single" w:sz="4" w:space="0" w:color="000000"/>
              <w:left w:val="single" w:sz="4" w:space="0" w:color="000000"/>
              <w:bottom w:val="single" w:sz="4" w:space="0" w:color="000000"/>
              <w:right w:val="single" w:sz="4" w:space="0" w:color="000000"/>
            </w:tcBorders>
          </w:tcPr>
          <w:p w14:paraId="6806BDAF" w14:textId="77777777" w:rsidR="002C26E2" w:rsidRDefault="00812CB4">
            <w:pPr>
              <w:spacing w:after="0" w:line="259" w:lineRule="auto"/>
              <w:ind w:left="0" w:firstLine="0"/>
            </w:pPr>
            <w:r>
              <w:rPr>
                <w:sz w:val="22"/>
              </w:rPr>
              <w:t xml:space="preserve">NI Judiciary </w:t>
            </w:r>
          </w:p>
        </w:tc>
        <w:tc>
          <w:tcPr>
            <w:tcW w:w="4502" w:type="dxa"/>
            <w:tcBorders>
              <w:top w:val="single" w:sz="4" w:space="0" w:color="000000"/>
              <w:left w:val="single" w:sz="4" w:space="0" w:color="000000"/>
              <w:bottom w:val="single" w:sz="4" w:space="0" w:color="000000"/>
              <w:right w:val="single" w:sz="4" w:space="0" w:color="000000"/>
            </w:tcBorders>
          </w:tcPr>
          <w:p w14:paraId="65A7D73C" w14:textId="77777777" w:rsidR="002C26E2" w:rsidRDefault="00812CB4">
            <w:pPr>
              <w:spacing w:after="0" w:line="259" w:lineRule="auto"/>
              <w:ind w:left="1" w:firstLine="0"/>
            </w:pPr>
            <w:r>
              <w:rPr>
                <w:sz w:val="22"/>
              </w:rPr>
              <w:t xml:space="preserve">29.5% </w:t>
            </w:r>
          </w:p>
        </w:tc>
      </w:tr>
    </w:tbl>
    <w:p w14:paraId="3DBCE256" w14:textId="77777777" w:rsidR="002C26E2" w:rsidRDefault="00812CB4">
      <w:pPr>
        <w:spacing w:after="152"/>
        <w:ind w:left="7" w:right="225"/>
      </w:pPr>
      <w:r>
        <w:t xml:space="preserve">The average inflationary increase for each of the NI Senior Civil Service and the NI Judiciary, ranges between 22.6% and 29.5%. If we were to take the mid-point between these two averages, we would be looking at 26.05%. </w:t>
      </w:r>
    </w:p>
    <w:p w14:paraId="1243D536" w14:textId="77777777" w:rsidR="002C26E2" w:rsidRDefault="00812CB4">
      <w:pPr>
        <w:spacing w:after="271" w:line="263" w:lineRule="auto"/>
        <w:ind w:left="7"/>
      </w:pPr>
      <w:r>
        <w:rPr>
          <w:b/>
          <w:u w:val="single" w:color="000000"/>
        </w:rPr>
        <w:t>Recommendation 1:</w:t>
      </w:r>
      <w:r>
        <w:t xml:space="preserve">  </w:t>
      </w:r>
    </w:p>
    <w:p w14:paraId="4F573589" w14:textId="77777777" w:rsidR="002C26E2" w:rsidRDefault="00812CB4">
      <w:pPr>
        <w:spacing w:after="155"/>
        <w:ind w:left="7" w:right="225"/>
      </w:pPr>
      <w:r>
        <w:t xml:space="preserve">As a result of the analysis above, and being subject to an affordability test, we would recommend an increase of 26.05% to the standard fees, subject to the exclusions below, in </w:t>
      </w:r>
      <w:r>
        <w:t>the Magistrates’ Court, County Court and</w:t>
      </w:r>
      <w:r>
        <w:t xml:space="preserve"> Crown Court for both barristers and solicitors, of which 16% has already been implemented.  </w:t>
      </w:r>
    </w:p>
    <w:p w14:paraId="5FAD9618" w14:textId="77777777" w:rsidR="002C26E2" w:rsidRDefault="00812CB4">
      <w:pPr>
        <w:spacing w:after="152"/>
        <w:ind w:left="7" w:right="225"/>
      </w:pPr>
      <w:r>
        <w:t xml:space="preserve">If we look at the additional increase to the fees that were increased previously by 16%, the additional increase to these fees would be 8.66%. That is, the additional increase required to the already increased rate (increased by 16%) to achieve an overall total increase of 26.05%. </w:t>
      </w:r>
    </w:p>
    <w:p w14:paraId="216401F1" w14:textId="77777777" w:rsidR="002C26E2" w:rsidRDefault="00812CB4">
      <w:pPr>
        <w:spacing w:after="271" w:line="263" w:lineRule="auto"/>
        <w:ind w:left="7"/>
      </w:pPr>
      <w:r>
        <w:rPr>
          <w:b/>
          <w:u w:val="single" w:color="000000"/>
        </w:rPr>
        <w:t>Recommendation 2</w:t>
      </w:r>
      <w:r>
        <w:rPr>
          <w:b/>
        </w:rPr>
        <w:t>:</w:t>
      </w:r>
      <w:r>
        <w:t xml:space="preserve">  </w:t>
      </w:r>
    </w:p>
    <w:p w14:paraId="14AB519F" w14:textId="77777777" w:rsidR="002C26E2" w:rsidRDefault="00812CB4">
      <w:pPr>
        <w:spacing w:after="169"/>
        <w:ind w:left="7" w:right="225"/>
      </w:pPr>
      <w:r>
        <w:t xml:space="preserve">It is recommended that the following fees are explicitly excluded from the uplift detailed above as either they were not subject to the original 16% uplift or separate fees are set out within this report: </w:t>
      </w:r>
    </w:p>
    <w:p w14:paraId="0B66F6CA" w14:textId="77777777" w:rsidR="002C26E2" w:rsidRDefault="00812CB4">
      <w:pPr>
        <w:numPr>
          <w:ilvl w:val="0"/>
          <w:numId w:val="28"/>
        </w:numPr>
        <w:spacing w:after="74" w:line="259" w:lineRule="auto"/>
        <w:ind w:right="2305" w:hanging="360"/>
      </w:pPr>
      <w:r>
        <w:t>Magistrates’ court:</w:t>
      </w:r>
      <w:r>
        <w:t xml:space="preserve"> </w:t>
      </w:r>
    </w:p>
    <w:p w14:paraId="08165570" w14:textId="77777777" w:rsidR="002C26E2" w:rsidRDefault="00812CB4">
      <w:pPr>
        <w:numPr>
          <w:ilvl w:val="1"/>
          <w:numId w:val="28"/>
        </w:numPr>
        <w:spacing w:after="28"/>
        <w:ind w:right="4719"/>
      </w:pPr>
      <w:r>
        <w:t xml:space="preserve">Exceptional Preparation </w:t>
      </w:r>
      <w:proofErr w:type="spellStart"/>
      <w:r>
        <w:rPr>
          <w:rFonts w:ascii="Courier New" w:eastAsia="Courier New" w:hAnsi="Courier New" w:cs="Courier New"/>
        </w:rPr>
        <w:t>o</w:t>
      </w:r>
      <w:proofErr w:type="spellEnd"/>
      <w:r>
        <w:t xml:space="preserve"> Travel and mileage </w:t>
      </w:r>
    </w:p>
    <w:p w14:paraId="5BD86A0D" w14:textId="77777777" w:rsidR="002C26E2" w:rsidRDefault="00812CB4">
      <w:pPr>
        <w:numPr>
          <w:ilvl w:val="0"/>
          <w:numId w:val="28"/>
        </w:numPr>
        <w:spacing w:after="13"/>
        <w:ind w:right="2305" w:hanging="360"/>
      </w:pPr>
      <w:r>
        <w:t xml:space="preserve">Crown Court </w:t>
      </w:r>
      <w:r>
        <w:rPr>
          <w:rFonts w:ascii="Courier New" w:eastAsia="Courier New" w:hAnsi="Courier New" w:cs="Courier New"/>
        </w:rPr>
        <w:t>o</w:t>
      </w:r>
      <w:r>
        <w:t xml:space="preserve"> Reviewing Audio/Visual material </w:t>
      </w:r>
      <w:r>
        <w:rPr>
          <w:rFonts w:ascii="Courier New" w:eastAsia="Courier New" w:hAnsi="Courier New" w:cs="Courier New"/>
        </w:rPr>
        <w:t>o</w:t>
      </w:r>
      <w:r>
        <w:t xml:space="preserve"> Consultations </w:t>
      </w:r>
    </w:p>
    <w:p w14:paraId="18694FB0" w14:textId="77777777" w:rsidR="002C26E2" w:rsidRDefault="00812CB4">
      <w:pPr>
        <w:numPr>
          <w:ilvl w:val="1"/>
          <w:numId w:val="28"/>
        </w:numPr>
        <w:spacing w:after="169"/>
        <w:ind w:right="4719"/>
      </w:pPr>
      <w:r>
        <w:t xml:space="preserve">Sentencing Skeleton Arguments </w:t>
      </w:r>
      <w:proofErr w:type="gramStart"/>
      <w:r>
        <w:rPr>
          <w:rFonts w:ascii="Courier New" w:eastAsia="Courier New" w:hAnsi="Courier New" w:cs="Courier New"/>
        </w:rPr>
        <w:t>o</w:t>
      </w:r>
      <w:proofErr w:type="gramEnd"/>
      <w:r>
        <w:t xml:space="preserve"> Exceptional Preparation </w:t>
      </w:r>
      <w:proofErr w:type="spellStart"/>
      <w:r>
        <w:rPr>
          <w:rFonts w:ascii="Courier New" w:eastAsia="Courier New" w:hAnsi="Courier New" w:cs="Courier New"/>
        </w:rPr>
        <w:t>o</w:t>
      </w:r>
      <w:proofErr w:type="spellEnd"/>
      <w:r>
        <w:t xml:space="preserve"> </w:t>
      </w:r>
      <w:r>
        <w:t xml:space="preserve">Additional Fee for PPE </w:t>
      </w:r>
      <w:r>
        <w:rPr>
          <w:rFonts w:ascii="Courier New" w:eastAsia="Courier New" w:hAnsi="Courier New" w:cs="Courier New"/>
        </w:rPr>
        <w:t>o</w:t>
      </w:r>
      <w:r>
        <w:t xml:space="preserve"> Travel and mileage </w:t>
      </w:r>
    </w:p>
    <w:p w14:paraId="1B22DA0C" w14:textId="77777777" w:rsidR="002C26E2" w:rsidRDefault="00812CB4">
      <w:pPr>
        <w:spacing w:after="153"/>
        <w:ind w:left="7" w:right="225"/>
      </w:pPr>
      <w:r>
        <w:t>We believe that the inherent structure of the rules as they stand have regard to the time and skill component of the Article 37 criteria.  Separate standard fee regimes cater for the Magi</w:t>
      </w:r>
      <w:r>
        <w:t xml:space="preserve">strates’ and Crown courts, acknowledging the differences in the </w:t>
      </w:r>
      <w:r>
        <w:t xml:space="preserve">severity of cases which come before them.  The standard fees are then gradated to account for the circumstances and complexity of the case such as classification, of offence, mode of disposal, volume of evidence, trial length and category of representative.  The standard fees are then supplemented with additional fees as appropriate.   </w:t>
      </w:r>
    </w:p>
    <w:p w14:paraId="2313C04C" w14:textId="77777777" w:rsidR="002C26E2" w:rsidRDefault="00812CB4">
      <w:pPr>
        <w:ind w:left="7" w:right="225"/>
      </w:pPr>
      <w:r>
        <w:t xml:space="preserve">Finally, the exceptional preparation provisions provide for further remuneration to be paid to representatives when certain criteria are met. We further believe that the recommendations above help in dealing with the continuing issue of the viability of the profession.  </w:t>
      </w:r>
    </w:p>
    <w:p w14:paraId="47C4F774" w14:textId="77777777" w:rsidR="002C26E2" w:rsidRDefault="00812CB4">
      <w:pPr>
        <w:spacing w:after="109" w:line="265" w:lineRule="auto"/>
        <w:ind w:left="7"/>
      </w:pPr>
      <w:r>
        <w:rPr>
          <w:u w:val="single" w:color="000000"/>
        </w:rPr>
        <w:t>Costs</w:t>
      </w:r>
      <w:r>
        <w:rPr>
          <w:b/>
        </w:rPr>
        <w:t xml:space="preserve"> </w:t>
      </w:r>
    </w:p>
    <w:p w14:paraId="6A5600CB" w14:textId="77777777" w:rsidR="002C26E2" w:rsidRDefault="00812CB4">
      <w:pPr>
        <w:spacing w:after="152"/>
        <w:ind w:left="7" w:right="225"/>
      </w:pPr>
      <w:r>
        <w:t xml:space="preserve">It is forecast that the implementation of recommendations 1 and 2, will lead to additional legal aid costs per annum of £3,492k </w:t>
      </w:r>
    </w:p>
    <w:p w14:paraId="64F7F69F" w14:textId="1CBB9D8C" w:rsidR="002C26E2" w:rsidRDefault="00812CB4">
      <w:pPr>
        <w:spacing w:after="0" w:line="259" w:lineRule="auto"/>
        <w:ind w:left="12" w:firstLine="0"/>
      </w:pPr>
      <w:r>
        <w:br w:type="page"/>
      </w:r>
    </w:p>
    <w:p w14:paraId="17BD3112" w14:textId="77777777" w:rsidR="002C26E2" w:rsidRDefault="00812CB4">
      <w:pPr>
        <w:pStyle w:val="Heading1"/>
        <w:spacing w:after="0" w:line="259" w:lineRule="auto"/>
        <w:ind w:left="1006" w:hanging="994"/>
      </w:pPr>
      <w:bookmarkStart w:id="39" w:name="_Toc107577"/>
      <w:r>
        <w:rPr>
          <w:color w:val="004E9A"/>
          <w:sz w:val="36"/>
        </w:rPr>
        <w:t xml:space="preserve">COMPARABLES </w:t>
      </w:r>
      <w:bookmarkEnd w:id="39"/>
    </w:p>
    <w:p w14:paraId="50103257" w14:textId="77777777" w:rsidR="002C26E2" w:rsidRDefault="00812CB4">
      <w:pPr>
        <w:spacing w:after="212" w:line="259" w:lineRule="auto"/>
        <w:ind w:left="-17" w:firstLine="0"/>
      </w:pPr>
      <w:r>
        <w:rPr>
          <w:rFonts w:ascii="Calibri" w:eastAsia="Calibri" w:hAnsi="Calibri" w:cs="Calibri"/>
          <w:noProof/>
          <w:sz w:val="22"/>
        </w:rPr>
        <mc:AlternateContent>
          <mc:Choice Requires="wpg">
            <w:drawing>
              <wp:inline distT="0" distB="0" distL="0" distR="0" wp14:anchorId="2B76045F" wp14:editId="69928255">
                <wp:extent cx="5769610" cy="6096"/>
                <wp:effectExtent l="0" t="0" r="0" b="0"/>
                <wp:docPr id="88029" name="Group 88029"/>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09997" name="Shape 10999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88029" style="width:454.3pt;height:0.47998pt;mso-position-horizontal-relative:char;mso-position-vertical-relative:line" coordsize="57696,60">
                <v:shape id="Shape 109998"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1868134B" w14:textId="77777777" w:rsidR="002C26E2" w:rsidRDefault="00812CB4">
      <w:pPr>
        <w:spacing w:after="153"/>
        <w:ind w:left="7" w:right="225"/>
      </w:pPr>
      <w:r>
        <w:t xml:space="preserve">In the Submissions from the CBA, and in earlier submissions on the part of SCBA, we were directed to several sources as potentially serving as comparables to the increases being sought. In relation to CBA, some of these were also referred to in the reports from Goldblatt McGuigan, dividing these into Primary Comparators, Secondary Comparators, Supporting Comparators and a comparison of criminal legal aid fees to other available work for barristers within the jurisdiction. </w:t>
      </w:r>
    </w:p>
    <w:p w14:paraId="6BB8D5FF" w14:textId="77777777" w:rsidR="002C26E2" w:rsidRDefault="00812CB4">
      <w:pPr>
        <w:spacing w:after="193"/>
        <w:ind w:left="7" w:right="225"/>
      </w:pPr>
      <w:r>
        <w:t xml:space="preserve">At the outset we can confirm that all such potential sources have been examined by us. In so doing, in addition to considering any specific issue in respect of which such sources may give rise, we are also obliged by the Terms of Reference to continue to apply the overarching test that the data provided is statistically valid and sufficiently objective and robust to sufficiently support any recommendation. </w:t>
      </w:r>
    </w:p>
    <w:p w14:paraId="2CF688DB" w14:textId="77777777" w:rsidR="002C26E2" w:rsidRDefault="00812CB4">
      <w:pPr>
        <w:spacing w:after="113" w:line="265" w:lineRule="auto"/>
        <w:ind w:left="7"/>
      </w:pPr>
      <w:r>
        <w:rPr>
          <w:b/>
        </w:rPr>
        <w:t xml:space="preserve">GLSNI hourly rates.  </w:t>
      </w:r>
    </w:p>
    <w:p w14:paraId="08ECFEB9" w14:textId="77777777" w:rsidR="002C26E2" w:rsidRDefault="00812CB4">
      <w:pPr>
        <w:spacing w:after="154"/>
        <w:ind w:left="7" w:right="225"/>
      </w:pPr>
      <w:r>
        <w:t xml:space="preserve">The CBA submission also refers to DLSNI hourly rates and ICRIR hourly rates.  The June 2025 report from Goldblatt McGuigan refers to the DLSNI hourly rate but the figures set out equate to the GLSNI hourly rates. </w:t>
      </w:r>
    </w:p>
    <w:p w14:paraId="06F4A56D" w14:textId="77777777" w:rsidR="002C26E2" w:rsidRDefault="00812CB4">
      <w:pPr>
        <w:spacing w:after="155"/>
        <w:ind w:left="7" w:right="225"/>
      </w:pPr>
      <w:r>
        <w:t xml:space="preserve">The role of the GLSNI hourly rates featured large in the discussions within the Working Party. The Minutes of the meeting of the working group on 16 October 2025 records that,  </w:t>
      </w:r>
    </w:p>
    <w:p w14:paraId="727AEC22" w14:textId="77777777" w:rsidR="002C26E2" w:rsidRDefault="00812CB4">
      <w:pPr>
        <w:spacing w:after="159" w:line="361" w:lineRule="auto"/>
        <w:ind w:left="742" w:right="24"/>
      </w:pPr>
      <w:r>
        <w:rPr>
          <w:i/>
        </w:rPr>
        <w:t xml:space="preserve">“Subject to the usual statutory criteria around affordability, the Department had indicated agreement in principle for the basis of hourly rate in relation to the Bar, and in relation to the Law Society. In relation to the </w:t>
      </w:r>
      <w:proofErr w:type="gramStart"/>
      <w:r>
        <w:rPr>
          <w:i/>
        </w:rPr>
        <w:t>Bar</w:t>
      </w:r>
      <w:proofErr w:type="gramEnd"/>
      <w:r>
        <w:rPr>
          <w:i/>
        </w:rPr>
        <w:t xml:space="preserve"> it was agreed that this would be informed by Government Legal Services Panel Rates, a scale recently reviewed, and which has an advantage of receiving the imprimatur of the Department of Finance”. </w:t>
      </w:r>
    </w:p>
    <w:p w14:paraId="70C1D4A0" w14:textId="77777777" w:rsidR="002C26E2" w:rsidRDefault="00812CB4">
      <w:pPr>
        <w:spacing w:after="152"/>
        <w:ind w:left="7" w:right="225"/>
      </w:pPr>
      <w:r>
        <w:t xml:space="preserve">In addition, the agreed Third Report of the Working Group dated November 2025 recorded that: </w:t>
      </w:r>
    </w:p>
    <w:p w14:paraId="5706FD21" w14:textId="77777777" w:rsidR="002C26E2" w:rsidRDefault="00812CB4">
      <w:pPr>
        <w:spacing w:after="106" w:line="360" w:lineRule="auto"/>
        <w:ind w:left="727" w:right="194"/>
      </w:pPr>
      <w:r>
        <w:rPr>
          <w:i/>
        </w:rPr>
        <w:t xml:space="preserve">‘Agreement has been reached of landing areas establishing hourly rates both for solicitors and for members of the Bar-including at each level of experience’.  </w:t>
      </w:r>
    </w:p>
    <w:p w14:paraId="4229B055" w14:textId="77777777" w:rsidR="002C26E2" w:rsidRDefault="00812CB4">
      <w:pPr>
        <w:spacing w:after="169"/>
        <w:ind w:left="7" w:right="225"/>
      </w:pPr>
      <w:r>
        <w:t xml:space="preserve">Our enquiries have confirmed </w:t>
      </w:r>
      <w:proofErr w:type="gramStart"/>
      <w:r>
        <w:t>a number of</w:t>
      </w:r>
      <w:proofErr w:type="gramEnd"/>
      <w:r>
        <w:t xml:space="preserve"> issues relating both to whom such payments are made and the process of verification and validation. These are: </w:t>
      </w:r>
    </w:p>
    <w:p w14:paraId="545E8272" w14:textId="77777777" w:rsidR="002C26E2" w:rsidRDefault="00812CB4">
      <w:pPr>
        <w:numPr>
          <w:ilvl w:val="0"/>
          <w:numId w:val="29"/>
        </w:numPr>
        <w:spacing w:after="175" w:line="361" w:lineRule="auto"/>
        <w:ind w:right="225" w:hanging="360"/>
      </w:pPr>
      <w:r>
        <w:t xml:space="preserve">They apply solely to counsel instructed by the Departmental Solicitors’ </w:t>
      </w:r>
      <w:r>
        <w:t xml:space="preserve">Office (DSO): </w:t>
      </w:r>
    </w:p>
    <w:p w14:paraId="48BF39E3" w14:textId="77777777" w:rsidR="002C26E2" w:rsidRDefault="00812CB4">
      <w:pPr>
        <w:numPr>
          <w:ilvl w:val="0"/>
          <w:numId w:val="29"/>
        </w:numPr>
        <w:spacing w:after="169"/>
        <w:ind w:right="225" w:hanging="360"/>
      </w:pPr>
      <w:r>
        <w:t xml:space="preserve">Counsel </w:t>
      </w:r>
      <w:proofErr w:type="gramStart"/>
      <w:r>
        <w:t>are</w:t>
      </w:r>
      <w:proofErr w:type="gramEnd"/>
      <w:r>
        <w:t xml:space="preserve"> required to undergo a selection process, with no guarantee of being placed on a panel-and potentially may be removed from a panel. This is in distinction to those to whom legal aid remuneration is paid, their appointment being at the discretion of the accused: </w:t>
      </w:r>
    </w:p>
    <w:p w14:paraId="6B1C9793" w14:textId="77777777" w:rsidR="002C26E2" w:rsidRDefault="00812CB4">
      <w:pPr>
        <w:numPr>
          <w:ilvl w:val="0"/>
          <w:numId w:val="29"/>
        </w:numPr>
        <w:spacing w:after="169"/>
        <w:ind w:right="225" w:hanging="360"/>
      </w:pPr>
      <w:r>
        <w:t xml:space="preserve">Counsel on government panels are required to submit a detailed timeline bill (on a pro rata basis) for review by the DSO instructing solicitor for submitting to the relevant Government Department for consideration of payment. This process addresses the question of verification and validation. </w:t>
      </w:r>
    </w:p>
    <w:p w14:paraId="42EFC1A3" w14:textId="77777777" w:rsidR="002C26E2" w:rsidRDefault="00812CB4">
      <w:pPr>
        <w:numPr>
          <w:ilvl w:val="0"/>
          <w:numId w:val="29"/>
        </w:numPr>
        <w:spacing w:after="152"/>
        <w:ind w:right="225" w:hanging="360"/>
      </w:pPr>
      <w:r>
        <w:t xml:space="preserve">There are some five levels of appointment, with differing hourly rates applicable based on years of experience and the level of work being undertaken. In relation to the number of levels, it would involve setting a similar structure for criminal legal aid-something absent from the present Submissions and indeed the fee structure generally.  </w:t>
      </w:r>
    </w:p>
    <w:p w14:paraId="02E45EF6" w14:textId="77777777" w:rsidR="002C26E2" w:rsidRDefault="00812CB4">
      <w:pPr>
        <w:spacing w:after="153"/>
        <w:ind w:left="7" w:right="225"/>
      </w:pPr>
      <w:r>
        <w:t xml:space="preserve">We have had it confirmed by the Department that it continues to accept these fees </w:t>
      </w:r>
      <w:r>
        <w:t xml:space="preserve">have a contribution to make by way of a ‘landing area’ but are not to be simply </w:t>
      </w:r>
      <w:r>
        <w:t xml:space="preserve">adopted without further detailed consideration and analysis. </w:t>
      </w:r>
    </w:p>
    <w:p w14:paraId="0E1BC78E" w14:textId="77777777" w:rsidR="002C26E2" w:rsidRDefault="00812CB4">
      <w:pPr>
        <w:spacing w:after="316" w:line="259" w:lineRule="auto"/>
        <w:ind w:left="7" w:right="225"/>
      </w:pPr>
      <w:r>
        <w:t xml:space="preserve">As stated, we have taken these matters into account in our Recommendations. </w:t>
      </w:r>
    </w:p>
    <w:p w14:paraId="5AC3514D" w14:textId="77777777" w:rsidR="002C26E2" w:rsidRDefault="00812CB4">
      <w:pPr>
        <w:spacing w:after="113" w:line="265" w:lineRule="auto"/>
        <w:ind w:left="7"/>
      </w:pPr>
      <w:r>
        <w:rPr>
          <w:b/>
        </w:rPr>
        <w:t xml:space="preserve">County Court Judges </w:t>
      </w:r>
    </w:p>
    <w:p w14:paraId="1212E917" w14:textId="77777777" w:rsidR="002C26E2" w:rsidRDefault="00812CB4">
      <w:pPr>
        <w:spacing w:after="0"/>
        <w:ind w:left="7" w:right="225"/>
      </w:pPr>
      <w:r>
        <w:t xml:space="preserve">As will be seen in this report, the increases in remuneration for County Court Judges have been taken as one of two primary comparators for the purposes for </w:t>
      </w:r>
    </w:p>
    <w:p w14:paraId="7A84E354" w14:textId="77777777" w:rsidR="002C26E2" w:rsidRDefault="00812CB4">
      <w:pPr>
        <w:spacing w:after="316" w:line="259" w:lineRule="auto"/>
        <w:ind w:left="7" w:right="225"/>
      </w:pPr>
      <w:r>
        <w:t xml:space="preserve">Recommendations, and full details are set out under the above relevant heading.  </w:t>
      </w:r>
    </w:p>
    <w:p w14:paraId="571214C3" w14:textId="77777777" w:rsidR="002C26E2" w:rsidRDefault="00812CB4">
      <w:pPr>
        <w:spacing w:after="113" w:line="265" w:lineRule="auto"/>
        <w:ind w:left="7"/>
      </w:pPr>
      <w:r>
        <w:rPr>
          <w:b/>
        </w:rPr>
        <w:t xml:space="preserve">County Court Fees </w:t>
      </w:r>
    </w:p>
    <w:p w14:paraId="6BB3516E" w14:textId="77777777" w:rsidR="002C26E2" w:rsidRDefault="00812CB4">
      <w:pPr>
        <w:spacing w:after="194"/>
        <w:ind w:left="7" w:right="225"/>
      </w:pPr>
      <w:r>
        <w:t>The Review Team did not have access to the data available to the relevant Committee nor the methodology in determining the increases to the fees. It was however noted that counsel</w:t>
      </w:r>
      <w:r>
        <w:t>’</w:t>
      </w:r>
      <w:r>
        <w:t xml:space="preserve">s fees were increased by approximately 23% from 2018. While the review team has taken as its starting point 2016, this level of increase sits within the range of increase of the comparators which have been accepted for the purposes of establishing the overall increase. </w:t>
      </w:r>
    </w:p>
    <w:p w14:paraId="5947EBEF" w14:textId="77777777" w:rsidR="002C26E2" w:rsidRDefault="00812CB4">
      <w:pPr>
        <w:spacing w:after="113" w:line="265" w:lineRule="auto"/>
        <w:ind w:left="7"/>
      </w:pPr>
      <w:r>
        <w:rPr>
          <w:b/>
        </w:rPr>
        <w:t xml:space="preserve">High Court Interlocutory fees </w:t>
      </w:r>
    </w:p>
    <w:p w14:paraId="37331D25" w14:textId="77777777" w:rsidR="002C26E2" w:rsidRDefault="00812CB4">
      <w:pPr>
        <w:spacing w:after="195"/>
        <w:ind w:left="7" w:right="225"/>
      </w:pPr>
      <w:r>
        <w:t xml:space="preserve">In its report of March 2026, </w:t>
      </w:r>
      <w:r>
        <w:t xml:space="preserve">Goldblatt McGuigan advised that a ‘report from </w:t>
      </w:r>
      <w:r>
        <w:t xml:space="preserve">independent accountants was also considered to provide evidential support as to the impact of inflation on practicing barristers, and resultant need for updated fee </w:t>
      </w:r>
      <w:r>
        <w:t>revisions’. This report was not furnished t</w:t>
      </w:r>
      <w:r>
        <w:t xml:space="preserve">o the Review Team, but this report sets out above, in detail, our consideration of both </w:t>
      </w:r>
      <w:proofErr w:type="gramStart"/>
      <w:r>
        <w:t>inflation</w:t>
      </w:r>
      <w:proofErr w:type="gramEnd"/>
      <w:r>
        <w:t xml:space="preserve"> generally (to include wage inflation) and later in this report the overheads incurred by counsel (informed by the additional information which was sought and p</w:t>
      </w:r>
      <w:r>
        <w:t xml:space="preserve">rovided).    </w:t>
      </w:r>
    </w:p>
    <w:p w14:paraId="3EF1EECE" w14:textId="77777777" w:rsidR="002C26E2" w:rsidRDefault="00812CB4">
      <w:pPr>
        <w:spacing w:after="113" w:line="265" w:lineRule="auto"/>
        <w:ind w:left="7"/>
      </w:pPr>
      <w:r>
        <w:rPr>
          <w:b/>
        </w:rPr>
        <w:t xml:space="preserve">England and Wales </w:t>
      </w:r>
    </w:p>
    <w:p w14:paraId="626330EC" w14:textId="77777777" w:rsidR="002C26E2" w:rsidRDefault="00812CB4">
      <w:pPr>
        <w:spacing w:after="152"/>
        <w:ind w:left="7" w:right="225"/>
      </w:pPr>
      <w:r>
        <w:t xml:space="preserve">In both of its reports Goldblatt McGuigan refer to this in the context of hourly rates for Barristers instructed by government departments across England and Wales. We </w:t>
      </w:r>
      <w:r>
        <w:t xml:space="preserve">refer to the first heading under the above paragraph dealing with ‘Comparators’ </w:t>
      </w:r>
      <w:r>
        <w:t xml:space="preserve">dealing with GLSNI and other government departments in Northern Ireland, which we consider relevant to our deliberations. </w:t>
      </w:r>
    </w:p>
    <w:p w14:paraId="1258B0A5" w14:textId="77777777" w:rsidR="002C26E2" w:rsidRDefault="00812CB4">
      <w:pPr>
        <w:spacing w:after="193"/>
        <w:ind w:left="7" w:right="225"/>
      </w:pPr>
      <w:r>
        <w:t xml:space="preserve">In relation to remuneration within the fee structure of England and Wales CBA themselves counsel caution, with which we agree. While the role of such a structure may well have some relevance, the degree of that relevance was addressed in the judicial review of 2015. In the event we have concluded that we can find no benefit or assistance by way of comparison in relation to the areas of remuneration with which we are engaged. </w:t>
      </w:r>
    </w:p>
    <w:p w14:paraId="6F7D546C" w14:textId="77777777" w:rsidR="002C26E2" w:rsidRDefault="00812CB4">
      <w:pPr>
        <w:spacing w:after="113" w:line="265" w:lineRule="auto"/>
        <w:ind w:left="7"/>
      </w:pPr>
      <w:r>
        <w:rPr>
          <w:b/>
        </w:rPr>
        <w:t xml:space="preserve">Ireland </w:t>
      </w:r>
    </w:p>
    <w:p w14:paraId="361CB310" w14:textId="77777777" w:rsidR="002C26E2" w:rsidRDefault="00812CB4">
      <w:pPr>
        <w:spacing w:after="0"/>
        <w:ind w:left="7" w:right="225"/>
      </w:pPr>
      <w:r>
        <w:t xml:space="preserve">In the CBA submission it is stated that in the Republic of Ireland, whilst there are reductions in criminal legal aid fees during the period of austerity, the Irish government was committed to a full restoration of criminal legal aid fees by 2026. References are also made in the updated analysis from Goldblatt McGuigan. There, </w:t>
      </w:r>
      <w:r>
        <w:t xml:space="preserve">it states that in October 2025 it was announced that there would be a total of €5.78 billion in current expenditure and €390 million in capital expenditure for the justice </w:t>
      </w:r>
      <w:r>
        <w:t>sector in 2</w:t>
      </w:r>
      <w:r>
        <w:t xml:space="preserve">026.  It specifically noted that there would be an allocation of €123 million </w:t>
      </w:r>
      <w:r>
        <w:t xml:space="preserve">(up by 28%) to allow for the full restoration of criminal legal aid fees in 2026, along with a wider systemic reform. </w:t>
      </w:r>
    </w:p>
    <w:p w14:paraId="060E4229" w14:textId="77777777" w:rsidR="002C26E2" w:rsidRDefault="00812CB4">
      <w:pPr>
        <w:spacing w:after="152"/>
        <w:ind w:left="7" w:right="225"/>
      </w:pPr>
      <w:r>
        <w:t xml:space="preserve">As regards the reference to 28%, this is an increase in current expenditure in the total amount payable for criminal legal aid. Both the Law Society of Ireland and indeed the Department of Justice itself indicated that the increase evidenced the impact of the appointment of additional judges, the increase in the prosecution of new types of offences and a significant increase in the granting of legal aid over the years. </w:t>
      </w:r>
    </w:p>
    <w:p w14:paraId="6C0CCE19" w14:textId="77777777" w:rsidR="002C26E2" w:rsidRDefault="00812CB4">
      <w:pPr>
        <w:spacing w:after="152"/>
        <w:ind w:left="7" w:right="225"/>
      </w:pPr>
      <w:r>
        <w:t xml:space="preserve">The above represents the entire database put forward as a supporter for this comparator, and we therefore have been unable to gain any assistance from this comparator.  </w:t>
      </w:r>
    </w:p>
    <w:p w14:paraId="424B7F8E" w14:textId="77777777" w:rsidR="002C26E2" w:rsidRDefault="00812CB4">
      <w:pPr>
        <w:spacing w:after="272" w:line="265" w:lineRule="auto"/>
        <w:ind w:left="7"/>
      </w:pPr>
      <w:r>
        <w:rPr>
          <w:b/>
        </w:rPr>
        <w:t xml:space="preserve">Other Public Remuneration Uplifts. </w:t>
      </w:r>
    </w:p>
    <w:p w14:paraId="656948C5" w14:textId="77777777" w:rsidR="002C26E2" w:rsidRDefault="00812CB4">
      <w:pPr>
        <w:spacing w:after="292" w:line="259" w:lineRule="auto"/>
        <w:ind w:left="7" w:right="225"/>
      </w:pPr>
      <w:r>
        <w:t xml:space="preserve">These are referred to in the March 2026 report from Goldblatt McGuigan.   </w:t>
      </w:r>
    </w:p>
    <w:p w14:paraId="131993C6" w14:textId="77777777" w:rsidR="002C26E2" w:rsidRDefault="00812CB4">
      <w:pPr>
        <w:numPr>
          <w:ilvl w:val="0"/>
          <w:numId w:val="30"/>
        </w:numPr>
        <w:spacing w:after="169"/>
        <w:ind w:right="225" w:hanging="427"/>
      </w:pPr>
      <w:r>
        <w:t xml:space="preserve">There is a reference to the impact of inflation which has been fully covered in this Report.   </w:t>
      </w:r>
    </w:p>
    <w:p w14:paraId="5746BD1D" w14:textId="77777777" w:rsidR="002C26E2" w:rsidRDefault="00812CB4">
      <w:pPr>
        <w:numPr>
          <w:ilvl w:val="0"/>
          <w:numId w:val="30"/>
        </w:numPr>
        <w:spacing w:after="197" w:line="360" w:lineRule="auto"/>
        <w:ind w:right="225" w:hanging="427"/>
      </w:pPr>
      <w:r>
        <w:t xml:space="preserve">Senior Civil Service Salaries increases form a substantive part of the basis of our Recommendations </w:t>
      </w:r>
      <w:r>
        <w:t>–</w:t>
      </w:r>
      <w:r>
        <w:t xml:space="preserve"> at 21% they are below the level of our Recommendations; and   </w:t>
      </w:r>
    </w:p>
    <w:p w14:paraId="4FD1E57D" w14:textId="77777777" w:rsidR="002C26E2" w:rsidRDefault="00812CB4">
      <w:pPr>
        <w:numPr>
          <w:ilvl w:val="0"/>
          <w:numId w:val="30"/>
        </w:numPr>
        <w:spacing w:after="192"/>
        <w:ind w:right="225" w:hanging="427"/>
      </w:pPr>
      <w:r>
        <w:t xml:space="preserve">Increases in MLA salaries are shown to be 26.8% for the same period as under consideration </w:t>
      </w:r>
      <w:r>
        <w:t>–</w:t>
      </w:r>
      <w:r>
        <w:t xml:space="preserve"> in line with our Recommendations. </w:t>
      </w:r>
    </w:p>
    <w:p w14:paraId="425DD217" w14:textId="77777777" w:rsidR="002C26E2" w:rsidRDefault="00812CB4">
      <w:pPr>
        <w:spacing w:after="113" w:line="265" w:lineRule="auto"/>
        <w:ind w:left="7"/>
      </w:pPr>
      <w:proofErr w:type="spellStart"/>
      <w:r>
        <w:rPr>
          <w:b/>
        </w:rPr>
        <w:t>Comerton</w:t>
      </w:r>
      <w:proofErr w:type="spellEnd"/>
      <w:r>
        <w:rPr>
          <w:b/>
        </w:rPr>
        <w:t xml:space="preserve"> Scale </w:t>
      </w:r>
    </w:p>
    <w:p w14:paraId="2451827E" w14:textId="77777777" w:rsidR="002C26E2" w:rsidRDefault="00812CB4">
      <w:pPr>
        <w:spacing w:after="154"/>
        <w:ind w:left="7" w:right="225"/>
      </w:pPr>
      <w:r>
        <w:t xml:space="preserve">The scale outlines the fees which it is submitted Counsel are entitled to mark in High Court personal injury cases. It is prepared by the Bar Council and is principally aimed at assisting members of the Bar with agreeing fees with their instructing solicitors and clients, </w:t>
      </w:r>
      <w:proofErr w:type="gramStart"/>
      <w:r>
        <w:t>so as to</w:t>
      </w:r>
      <w:proofErr w:type="gramEnd"/>
      <w:r>
        <w:t xml:space="preserve"> avoid the lengthy process of having the fees taxed by the Taxing Master.  </w:t>
      </w:r>
    </w:p>
    <w:p w14:paraId="6607CFD9" w14:textId="77777777" w:rsidR="002C26E2" w:rsidRDefault="00812CB4">
      <w:pPr>
        <w:ind w:left="7" w:right="225"/>
      </w:pPr>
      <w:r>
        <w:t xml:space="preserve">The scale levels in the tables relate to standard or straightforward personal injury actions, and fee levels may vary depending on the nature of the claim, the complexity of the case, difficulty novelty of the issues involved, the length anticipated length of any trial and the degree of work required of Counsel or involving substantial compromise. The fees charged vary depending on whether the cases listed are settled by way of early negotiations and whether liability is either denied or admitted. </w:t>
      </w:r>
    </w:p>
    <w:p w14:paraId="54BD9AE3" w14:textId="77777777" w:rsidR="002C26E2" w:rsidRDefault="00812CB4">
      <w:pPr>
        <w:spacing w:after="152"/>
        <w:ind w:left="7" w:right="225"/>
      </w:pPr>
      <w:r>
        <w:t xml:space="preserve">The degree of uplift set out in the Scale can vary depending on the band and the stage of proceedings. </w:t>
      </w:r>
    </w:p>
    <w:p w14:paraId="5A60C979" w14:textId="7D608456" w:rsidR="002C26E2" w:rsidRDefault="00812CB4" w:rsidP="00554D9A">
      <w:pPr>
        <w:spacing w:after="152"/>
        <w:ind w:left="7" w:right="225"/>
      </w:pPr>
      <w:r>
        <w:t xml:space="preserve"> As stated, the scales are not binding in the same way as remuneration paid within the fee structure for criminal legal aid and clearly cover a wide range of variables. The fees are prepared by the Bar Council, but no information has been furnished as to the bases upon which the respective increases have been calculated.  It has therefore not been possible for us to consider whether any of the issues considered are reflected in the issues presently being considered in the context of criminal legal aid.</w:t>
      </w:r>
    </w:p>
    <w:p w14:paraId="4E1DFCE6" w14:textId="79389D19" w:rsidR="002C26E2" w:rsidRDefault="00812CB4">
      <w:pPr>
        <w:spacing w:after="0" w:line="259" w:lineRule="auto"/>
        <w:ind w:left="12" w:firstLine="0"/>
      </w:pPr>
      <w:r>
        <w:br w:type="page"/>
      </w:r>
    </w:p>
    <w:p w14:paraId="6F7BEA81" w14:textId="77777777" w:rsidR="002C26E2" w:rsidRDefault="00812CB4">
      <w:pPr>
        <w:pStyle w:val="Heading1"/>
        <w:spacing w:after="0" w:line="259" w:lineRule="auto"/>
        <w:ind w:left="849" w:hanging="852"/>
      </w:pPr>
      <w:bookmarkStart w:id="40" w:name="_Toc107578"/>
      <w:r>
        <w:rPr>
          <w:color w:val="004E9A"/>
          <w:sz w:val="36"/>
        </w:rPr>
        <w:t>E</w:t>
      </w:r>
      <w:r>
        <w:rPr>
          <w:color w:val="004E9A"/>
          <w:sz w:val="29"/>
        </w:rPr>
        <w:t xml:space="preserve">XCEPTIONAL </w:t>
      </w:r>
      <w:r>
        <w:rPr>
          <w:color w:val="004E9A"/>
          <w:sz w:val="36"/>
        </w:rPr>
        <w:t>P</w:t>
      </w:r>
      <w:r>
        <w:rPr>
          <w:color w:val="004E9A"/>
          <w:sz w:val="29"/>
        </w:rPr>
        <w:t xml:space="preserve">REPARATION AND </w:t>
      </w:r>
      <w:r>
        <w:rPr>
          <w:color w:val="004E9A"/>
          <w:sz w:val="36"/>
        </w:rPr>
        <w:t xml:space="preserve">PPE </w:t>
      </w:r>
      <w:bookmarkEnd w:id="40"/>
    </w:p>
    <w:p w14:paraId="7FE046BA" w14:textId="77777777" w:rsidR="002C26E2" w:rsidRDefault="00812CB4">
      <w:pPr>
        <w:spacing w:after="332" w:line="259" w:lineRule="auto"/>
        <w:ind w:left="-17" w:firstLine="0"/>
      </w:pPr>
      <w:r>
        <w:rPr>
          <w:rFonts w:ascii="Calibri" w:eastAsia="Calibri" w:hAnsi="Calibri" w:cs="Calibri"/>
          <w:noProof/>
          <w:sz w:val="22"/>
        </w:rPr>
        <mc:AlternateContent>
          <mc:Choice Requires="wpg">
            <w:drawing>
              <wp:inline distT="0" distB="0" distL="0" distR="0" wp14:anchorId="349EDE35" wp14:editId="4DBF5D3D">
                <wp:extent cx="5769610" cy="6096"/>
                <wp:effectExtent l="0" t="0" r="0" b="0"/>
                <wp:docPr id="89395" name="Group 89395"/>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09999" name="Shape 109999"/>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89395" style="width:454.3pt;height:0.47998pt;mso-position-horizontal-relative:char;mso-position-vertical-relative:line" coordsize="57696,60">
                <v:shape id="Shape 110000"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5A06551D" w14:textId="77777777" w:rsidR="002C26E2" w:rsidRDefault="00812CB4">
      <w:pPr>
        <w:spacing w:after="445"/>
        <w:ind w:left="7" w:right="225"/>
      </w:pPr>
      <w:r>
        <w:t xml:space="preserve">This section examines the operation and usage of </w:t>
      </w:r>
      <w:r>
        <w:rPr>
          <w:b/>
        </w:rPr>
        <w:t>Exceptional Preparation (EP)</w:t>
      </w:r>
      <w:r>
        <w:t xml:space="preserve"> </w:t>
      </w:r>
      <w:r>
        <w:t xml:space="preserve">within the Crown Court fee regime, with particular focus on its application to </w:t>
      </w:r>
      <w:r>
        <w:rPr>
          <w:b/>
        </w:rPr>
        <w:t>Pages of Prosecution Evidence (PPE)</w:t>
      </w:r>
      <w:r>
        <w:t xml:space="preserve"> and reading-related work. The purpose is to determine whether EP is being used consistently with its original intent and, if not, to identify a more proportionate and evidence-based approach to remuneration. </w:t>
      </w:r>
    </w:p>
    <w:p w14:paraId="3FFC2A01" w14:textId="77777777" w:rsidR="002C26E2" w:rsidRDefault="00812CB4">
      <w:pPr>
        <w:pStyle w:val="Heading2"/>
        <w:spacing w:after="309"/>
        <w:ind w:left="849" w:right="200" w:hanging="852"/>
      </w:pPr>
      <w:bookmarkStart w:id="41" w:name="_Toc107579"/>
      <w:r>
        <w:rPr>
          <w:sz w:val="28"/>
        </w:rPr>
        <w:t>E</w:t>
      </w:r>
      <w:r>
        <w:t>XISTING</w:t>
      </w:r>
      <w:r>
        <w:rPr>
          <w:color w:val="004E9A"/>
        </w:rPr>
        <w:t xml:space="preserve"> </w:t>
      </w:r>
      <w:r>
        <w:rPr>
          <w:color w:val="004E9A"/>
          <w:sz w:val="28"/>
        </w:rPr>
        <w:t>EP</w:t>
      </w:r>
      <w:r>
        <w:rPr>
          <w:color w:val="004E9A"/>
        </w:rPr>
        <w:t xml:space="preserve"> FRAMEWORK</w:t>
      </w:r>
      <w:r>
        <w:rPr>
          <w:color w:val="004E9A"/>
          <w:sz w:val="28"/>
        </w:rPr>
        <w:t xml:space="preserve"> </w:t>
      </w:r>
      <w:bookmarkEnd w:id="41"/>
    </w:p>
    <w:p w14:paraId="47E4347E" w14:textId="77777777" w:rsidR="002C26E2" w:rsidRDefault="00812CB4">
      <w:pPr>
        <w:spacing w:after="390" w:line="265" w:lineRule="auto"/>
        <w:ind w:left="7"/>
      </w:pPr>
      <w:r>
        <w:rPr>
          <w:u w:val="single" w:color="000000"/>
        </w:rPr>
        <w:t>Legislative position</w:t>
      </w:r>
      <w:r>
        <w:t xml:space="preserve"> </w:t>
      </w:r>
    </w:p>
    <w:p w14:paraId="18BE8E3B" w14:textId="77777777" w:rsidR="002C26E2" w:rsidRDefault="00812CB4">
      <w:pPr>
        <w:spacing w:after="272"/>
        <w:ind w:left="7" w:right="225"/>
      </w:pPr>
      <w:r>
        <w:t xml:space="preserve">The criminal legal aid legislation provides for hourly-based remuneration for work that qualifies as Exceptional Preparation, defined as work that falls outside the scope of standard fees and meets defined statutory criteria. </w:t>
      </w:r>
    </w:p>
    <w:p w14:paraId="616339B5" w14:textId="77777777" w:rsidR="002C26E2" w:rsidRDefault="00812CB4">
      <w:pPr>
        <w:spacing w:after="396" w:line="259" w:lineRule="auto"/>
        <w:ind w:left="7" w:right="225"/>
      </w:pPr>
      <w:r>
        <w:t xml:space="preserve">Rule 11A of the 2005 Rules and Rule 10A of the 2009 Rules </w:t>
      </w:r>
      <w:proofErr w:type="gramStart"/>
      <w:r>
        <w:t>provide:-</w:t>
      </w:r>
      <w:proofErr w:type="gramEnd"/>
      <w:r>
        <w:t xml:space="preserve"> </w:t>
      </w:r>
    </w:p>
    <w:p w14:paraId="36A9D183" w14:textId="77777777" w:rsidR="002C26E2" w:rsidRDefault="00812CB4">
      <w:pPr>
        <w:spacing w:after="283" w:line="360" w:lineRule="auto"/>
        <w:ind w:left="22" w:right="194"/>
      </w:pPr>
      <w:r>
        <w:rPr>
          <w:i/>
        </w:rPr>
        <w:t xml:space="preserve">‘(1) where a Representative considers that a case (or part of the case which is the subject matter of the application) </w:t>
      </w:r>
    </w:p>
    <w:p w14:paraId="2BD752A0" w14:textId="77777777" w:rsidR="002C26E2" w:rsidRDefault="00812CB4">
      <w:pPr>
        <w:numPr>
          <w:ilvl w:val="0"/>
          <w:numId w:val="31"/>
        </w:numPr>
        <w:spacing w:after="390" w:line="265" w:lineRule="auto"/>
        <w:ind w:right="254" w:hanging="360"/>
        <w:jc w:val="center"/>
      </w:pPr>
      <w:r>
        <w:rPr>
          <w:i/>
        </w:rPr>
        <w:t xml:space="preserve">involves a point of law or factual issue that is very unusual or novel: </w:t>
      </w:r>
    </w:p>
    <w:p w14:paraId="7E899B43" w14:textId="77777777" w:rsidR="002C26E2" w:rsidRDefault="00812CB4">
      <w:pPr>
        <w:numPr>
          <w:ilvl w:val="0"/>
          <w:numId w:val="31"/>
        </w:numPr>
        <w:spacing w:after="109" w:line="265" w:lineRule="auto"/>
        <w:ind w:right="254" w:hanging="360"/>
        <w:jc w:val="center"/>
      </w:pPr>
      <w:r>
        <w:rPr>
          <w:i/>
        </w:rPr>
        <w:t xml:space="preserve">additional preparation work is reasonably required on the part of the </w:t>
      </w:r>
    </w:p>
    <w:p w14:paraId="00166310" w14:textId="77777777" w:rsidR="002C26E2" w:rsidRDefault="00812CB4">
      <w:pPr>
        <w:spacing w:after="390" w:line="265" w:lineRule="auto"/>
        <w:ind w:right="307"/>
        <w:jc w:val="center"/>
      </w:pPr>
      <w:r>
        <w:rPr>
          <w:i/>
        </w:rPr>
        <w:t xml:space="preserve">Representative </w:t>
      </w:r>
      <w:proofErr w:type="gramStart"/>
      <w:r>
        <w:rPr>
          <w:i/>
        </w:rPr>
        <w:t>in order to</w:t>
      </w:r>
      <w:proofErr w:type="gramEnd"/>
      <w:r>
        <w:rPr>
          <w:i/>
        </w:rPr>
        <w:t xml:space="preserve"> prepare the assisted person is defence: and </w:t>
      </w:r>
    </w:p>
    <w:p w14:paraId="75E30AE4" w14:textId="77777777" w:rsidR="002C26E2" w:rsidRDefault="00812CB4">
      <w:pPr>
        <w:numPr>
          <w:ilvl w:val="0"/>
          <w:numId w:val="31"/>
        </w:numPr>
        <w:spacing w:after="279" w:line="361" w:lineRule="auto"/>
        <w:ind w:right="254" w:hanging="360"/>
        <w:jc w:val="center"/>
      </w:pPr>
      <w:r>
        <w:rPr>
          <w:i/>
        </w:rPr>
        <w:t xml:space="preserve">that work is substantially </w:t>
      </w:r>
      <w:proofErr w:type="gramStart"/>
      <w:r>
        <w:rPr>
          <w:i/>
        </w:rPr>
        <w:t>in excess of</w:t>
      </w:r>
      <w:proofErr w:type="gramEnd"/>
      <w:r>
        <w:rPr>
          <w:i/>
        </w:rPr>
        <w:t xml:space="preserve"> the amount normally required for cases of the same type, </w:t>
      </w:r>
    </w:p>
    <w:p w14:paraId="2225C1DF" w14:textId="77777777" w:rsidR="002C26E2" w:rsidRDefault="00812CB4">
      <w:pPr>
        <w:spacing w:after="279" w:line="361" w:lineRule="auto"/>
        <w:ind w:left="22" w:right="24"/>
      </w:pPr>
      <w:r>
        <w:rPr>
          <w:i/>
        </w:rPr>
        <w:t xml:space="preserve">the Representative may apply to the Department for a Certificate of Exceptionality in accordance with the provisions of this rule.’  </w:t>
      </w:r>
    </w:p>
    <w:p w14:paraId="1D8B3EA3" w14:textId="77777777" w:rsidR="002C26E2" w:rsidRDefault="00812CB4">
      <w:pPr>
        <w:spacing w:after="273"/>
        <w:ind w:left="7" w:right="225"/>
      </w:pPr>
      <w:r>
        <w:t xml:space="preserve">As the Fundamental Review sets out, in the provisions of the rule structure each of the criteria are expressed conjunctively. </w:t>
      </w:r>
    </w:p>
    <w:p w14:paraId="01EEB6A8" w14:textId="77777777" w:rsidR="002C26E2" w:rsidRDefault="00812CB4">
      <w:pPr>
        <w:spacing w:after="0" w:line="259" w:lineRule="auto"/>
        <w:ind w:left="12" w:firstLine="0"/>
      </w:pPr>
      <w:r>
        <w:t xml:space="preserve"> </w:t>
      </w:r>
    </w:p>
    <w:p w14:paraId="3DE1EA6D" w14:textId="77777777" w:rsidR="002C26E2" w:rsidRDefault="00812CB4">
      <w:pPr>
        <w:spacing w:after="272"/>
        <w:ind w:left="7" w:right="225"/>
      </w:pPr>
      <w:r>
        <w:t xml:space="preserve">This Hourly rates for EP were last set in </w:t>
      </w:r>
      <w:r>
        <w:rPr>
          <w:b/>
        </w:rPr>
        <w:t>2016</w:t>
      </w:r>
      <w:r>
        <w:t xml:space="preserve"> and vary by court and level of representative, applying to both solicitors and counsel in the m</w:t>
      </w:r>
      <w:r>
        <w:t xml:space="preserve">agistrates’ </w:t>
      </w:r>
      <w:r>
        <w:t xml:space="preserve">court and Crown Court. </w:t>
      </w:r>
    </w:p>
    <w:p w14:paraId="1EEB3590" w14:textId="77777777" w:rsidR="002C26E2" w:rsidRDefault="00812CB4">
      <w:pPr>
        <w:spacing w:after="390" w:line="265" w:lineRule="auto"/>
        <w:ind w:left="7"/>
      </w:pPr>
      <w:r>
        <w:rPr>
          <w:u w:val="single" w:color="000000"/>
        </w:rPr>
        <w:t>Current EP hourly rates</w:t>
      </w:r>
      <w:r>
        <w:t xml:space="preserve"> </w:t>
      </w:r>
    </w:p>
    <w:p w14:paraId="40729740" w14:textId="77777777" w:rsidR="002C26E2" w:rsidRDefault="00812CB4">
      <w:pPr>
        <w:spacing w:after="125" w:line="259" w:lineRule="auto"/>
        <w:ind w:left="7" w:right="225"/>
      </w:pPr>
      <w:r>
        <w:t xml:space="preserve">The prevailing EP hourly rates (pre 16% uplift) are summarised below. </w:t>
      </w:r>
    </w:p>
    <w:tbl>
      <w:tblPr>
        <w:tblStyle w:val="TableGrid0"/>
        <w:tblW w:w="8835" w:type="dxa"/>
        <w:tblInd w:w="7" w:type="dxa"/>
        <w:tblLook w:val="04A0" w:firstRow="1" w:lastRow="0" w:firstColumn="1" w:lastColumn="0" w:noHBand="0" w:noVBand="1"/>
      </w:tblPr>
      <w:tblGrid>
        <w:gridCol w:w="8835"/>
      </w:tblGrid>
      <w:tr w:rsidR="008F6F08" w14:paraId="11EE8712" w14:textId="77777777" w:rsidTr="008F6F08">
        <w:tc>
          <w:tcPr>
            <w:tcW w:w="8835" w:type="dxa"/>
            <w:shd w:val="clear" w:color="auto" w:fill="424996"/>
          </w:tcPr>
          <w:p w14:paraId="5E738CD4" w14:textId="3E40B63A" w:rsidR="008F6F08" w:rsidRDefault="008F6F08" w:rsidP="008F6F08">
            <w:pPr>
              <w:spacing w:after="107" w:line="259" w:lineRule="auto"/>
              <w:ind w:left="0" w:right="55" w:firstLine="0"/>
              <w:jc w:val="center"/>
            </w:pPr>
            <w:r>
              <w:rPr>
                <w:b/>
                <w:color w:val="FFFFFF"/>
                <w:sz w:val="22"/>
              </w:rPr>
              <w:t xml:space="preserve">Magistrates court Exceptional Preparation Rates </w:t>
            </w:r>
          </w:p>
        </w:tc>
      </w:tr>
    </w:tbl>
    <w:tbl>
      <w:tblPr>
        <w:tblStyle w:val="TableGrid"/>
        <w:tblW w:w="8835" w:type="dxa"/>
        <w:tblInd w:w="13" w:type="dxa"/>
        <w:tblCellMar>
          <w:top w:w="49" w:type="dxa"/>
          <w:left w:w="107" w:type="dxa"/>
          <w:bottom w:w="0" w:type="dxa"/>
          <w:right w:w="54" w:type="dxa"/>
        </w:tblCellMar>
        <w:tblLook w:val="04A0" w:firstRow="1" w:lastRow="0" w:firstColumn="1" w:lastColumn="0" w:noHBand="0" w:noVBand="1"/>
      </w:tblPr>
      <w:tblGrid>
        <w:gridCol w:w="1758"/>
        <w:gridCol w:w="1762"/>
        <w:gridCol w:w="1762"/>
        <w:gridCol w:w="1762"/>
        <w:gridCol w:w="1791"/>
      </w:tblGrid>
      <w:tr w:rsidR="002C26E2" w14:paraId="7EB30AD7" w14:textId="77777777" w:rsidTr="009D5B98">
        <w:trPr>
          <w:trHeight w:val="930"/>
        </w:trPr>
        <w:tc>
          <w:tcPr>
            <w:tcW w:w="1758" w:type="dxa"/>
            <w:tcBorders>
              <w:top w:val="single" w:sz="4" w:space="0" w:color="000000"/>
              <w:left w:val="single" w:sz="4" w:space="0" w:color="000000"/>
              <w:bottom w:val="single" w:sz="4" w:space="0" w:color="000000"/>
              <w:right w:val="single" w:sz="4" w:space="0" w:color="000000"/>
            </w:tcBorders>
          </w:tcPr>
          <w:p w14:paraId="40619FD4" w14:textId="77777777" w:rsidR="002C26E2" w:rsidRDefault="00812CB4">
            <w:pPr>
              <w:spacing w:after="0" w:line="259" w:lineRule="auto"/>
              <w:ind w:left="0" w:firstLine="0"/>
            </w:pPr>
            <w:r>
              <w:rPr>
                <w:sz w:val="22"/>
              </w:rPr>
              <w:t xml:space="preserve">King’s Counsel </w:t>
            </w:r>
            <w:r>
              <w:rPr>
                <w:sz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C3D60F4" w14:textId="77777777" w:rsidR="002C26E2" w:rsidRDefault="00812CB4">
            <w:pPr>
              <w:spacing w:after="0" w:line="259" w:lineRule="auto"/>
              <w:ind w:left="2" w:firstLine="0"/>
            </w:pPr>
            <w:r>
              <w:rPr>
                <w:sz w:val="22"/>
              </w:rPr>
              <w:t xml:space="preserve">Junior Counsel </w:t>
            </w:r>
          </w:p>
        </w:tc>
        <w:tc>
          <w:tcPr>
            <w:tcW w:w="1762" w:type="dxa"/>
            <w:tcBorders>
              <w:top w:val="single" w:sz="4" w:space="0" w:color="000000"/>
              <w:left w:val="single" w:sz="4" w:space="0" w:color="000000"/>
              <w:bottom w:val="single" w:sz="4" w:space="0" w:color="000000"/>
              <w:right w:val="single" w:sz="4" w:space="0" w:color="000000"/>
            </w:tcBorders>
          </w:tcPr>
          <w:p w14:paraId="59BD61C8" w14:textId="77777777" w:rsidR="002C26E2" w:rsidRDefault="00812CB4">
            <w:pPr>
              <w:spacing w:after="0" w:line="259" w:lineRule="auto"/>
              <w:ind w:left="1" w:firstLine="0"/>
            </w:pPr>
            <w:r>
              <w:rPr>
                <w:sz w:val="22"/>
              </w:rPr>
              <w:t xml:space="preserve">Senior Solicitor </w:t>
            </w:r>
          </w:p>
        </w:tc>
        <w:tc>
          <w:tcPr>
            <w:tcW w:w="1762" w:type="dxa"/>
            <w:tcBorders>
              <w:top w:val="single" w:sz="4" w:space="0" w:color="000000"/>
              <w:left w:val="single" w:sz="4" w:space="0" w:color="000000"/>
              <w:bottom w:val="single" w:sz="4" w:space="0" w:color="000000"/>
              <w:right w:val="single" w:sz="4" w:space="0" w:color="000000"/>
            </w:tcBorders>
          </w:tcPr>
          <w:p w14:paraId="515D1A49" w14:textId="77777777" w:rsidR="002C26E2" w:rsidRDefault="00812CB4">
            <w:pPr>
              <w:spacing w:after="0" w:line="259" w:lineRule="auto"/>
              <w:ind w:left="1" w:firstLine="0"/>
            </w:pPr>
            <w:r>
              <w:rPr>
                <w:sz w:val="22"/>
              </w:rPr>
              <w:t xml:space="preserve">Solicitor </w:t>
            </w:r>
          </w:p>
        </w:tc>
        <w:tc>
          <w:tcPr>
            <w:tcW w:w="1791" w:type="dxa"/>
            <w:tcBorders>
              <w:top w:val="single" w:sz="4" w:space="0" w:color="000000"/>
              <w:left w:val="single" w:sz="4" w:space="0" w:color="000000"/>
              <w:bottom w:val="single" w:sz="4" w:space="0" w:color="000000"/>
              <w:right w:val="single" w:sz="4" w:space="0" w:color="000000"/>
            </w:tcBorders>
          </w:tcPr>
          <w:p w14:paraId="7BC63A2F" w14:textId="77777777" w:rsidR="002C26E2" w:rsidRDefault="00812CB4">
            <w:pPr>
              <w:spacing w:after="0" w:line="259" w:lineRule="auto"/>
              <w:ind w:left="1" w:firstLine="0"/>
            </w:pPr>
            <w:r>
              <w:rPr>
                <w:sz w:val="22"/>
              </w:rPr>
              <w:t xml:space="preserve">Apprentice or equivalent </w:t>
            </w:r>
          </w:p>
        </w:tc>
      </w:tr>
      <w:tr w:rsidR="002C26E2" w14:paraId="6616E854" w14:textId="77777777" w:rsidTr="009D5B98">
        <w:trPr>
          <w:trHeight w:val="551"/>
        </w:trPr>
        <w:tc>
          <w:tcPr>
            <w:tcW w:w="1758" w:type="dxa"/>
            <w:tcBorders>
              <w:top w:val="single" w:sz="4" w:space="0" w:color="000000"/>
              <w:left w:val="single" w:sz="4" w:space="0" w:color="000000"/>
              <w:bottom w:val="single" w:sz="4" w:space="0" w:color="000000"/>
              <w:right w:val="single" w:sz="4" w:space="0" w:color="000000"/>
            </w:tcBorders>
          </w:tcPr>
          <w:p w14:paraId="35B3DE5B" w14:textId="77777777" w:rsidR="002C26E2" w:rsidRDefault="00812CB4">
            <w:pPr>
              <w:spacing w:after="0" w:line="259" w:lineRule="auto"/>
              <w:ind w:left="0" w:firstLine="0"/>
            </w:pPr>
            <w:r>
              <w:rPr>
                <w:sz w:val="22"/>
              </w:rPr>
              <w:t xml:space="preserve">£100 per hour </w:t>
            </w:r>
          </w:p>
        </w:tc>
        <w:tc>
          <w:tcPr>
            <w:tcW w:w="1762" w:type="dxa"/>
            <w:tcBorders>
              <w:top w:val="single" w:sz="4" w:space="0" w:color="000000"/>
              <w:left w:val="single" w:sz="4" w:space="0" w:color="000000"/>
              <w:bottom w:val="single" w:sz="4" w:space="0" w:color="000000"/>
              <w:right w:val="single" w:sz="4" w:space="0" w:color="000000"/>
            </w:tcBorders>
          </w:tcPr>
          <w:p w14:paraId="50661376" w14:textId="77777777" w:rsidR="002C26E2" w:rsidRDefault="00812CB4">
            <w:pPr>
              <w:spacing w:after="0" w:line="259" w:lineRule="auto"/>
              <w:ind w:left="2" w:firstLine="0"/>
            </w:pPr>
            <w:r>
              <w:rPr>
                <w:sz w:val="22"/>
              </w:rPr>
              <w:t xml:space="preserve">£80 per hour </w:t>
            </w:r>
          </w:p>
        </w:tc>
        <w:tc>
          <w:tcPr>
            <w:tcW w:w="1762" w:type="dxa"/>
            <w:tcBorders>
              <w:top w:val="single" w:sz="4" w:space="0" w:color="000000"/>
              <w:left w:val="single" w:sz="4" w:space="0" w:color="000000"/>
              <w:bottom w:val="single" w:sz="4" w:space="0" w:color="000000"/>
              <w:right w:val="single" w:sz="4" w:space="0" w:color="000000"/>
            </w:tcBorders>
          </w:tcPr>
          <w:p w14:paraId="77057DDD" w14:textId="77777777" w:rsidR="002C26E2" w:rsidRDefault="00812CB4">
            <w:pPr>
              <w:spacing w:after="0" w:line="259" w:lineRule="auto"/>
              <w:ind w:left="1" w:firstLine="0"/>
            </w:pPr>
            <w:r>
              <w:rPr>
                <w:sz w:val="22"/>
              </w:rPr>
              <w:t xml:space="preserve">£100 per hour </w:t>
            </w:r>
          </w:p>
        </w:tc>
        <w:tc>
          <w:tcPr>
            <w:tcW w:w="1762" w:type="dxa"/>
            <w:tcBorders>
              <w:top w:val="single" w:sz="4" w:space="0" w:color="000000"/>
              <w:left w:val="single" w:sz="4" w:space="0" w:color="000000"/>
              <w:bottom w:val="single" w:sz="4" w:space="0" w:color="000000"/>
              <w:right w:val="single" w:sz="4" w:space="0" w:color="000000"/>
            </w:tcBorders>
          </w:tcPr>
          <w:p w14:paraId="28BA8BFC" w14:textId="77777777" w:rsidR="002C26E2" w:rsidRDefault="00812CB4">
            <w:pPr>
              <w:spacing w:after="0" w:line="259" w:lineRule="auto"/>
              <w:ind w:left="1" w:firstLine="0"/>
            </w:pPr>
            <w:r>
              <w:rPr>
                <w:sz w:val="22"/>
              </w:rPr>
              <w:t xml:space="preserve">£80 per hour </w:t>
            </w:r>
          </w:p>
        </w:tc>
        <w:tc>
          <w:tcPr>
            <w:tcW w:w="1791" w:type="dxa"/>
            <w:tcBorders>
              <w:top w:val="single" w:sz="4" w:space="0" w:color="000000"/>
              <w:left w:val="single" w:sz="4" w:space="0" w:color="000000"/>
              <w:bottom w:val="single" w:sz="4" w:space="0" w:color="000000"/>
              <w:right w:val="single" w:sz="4" w:space="0" w:color="000000"/>
            </w:tcBorders>
          </w:tcPr>
          <w:p w14:paraId="17991066" w14:textId="77777777" w:rsidR="002C26E2" w:rsidRDefault="00812CB4">
            <w:pPr>
              <w:spacing w:after="0" w:line="259" w:lineRule="auto"/>
              <w:ind w:left="1" w:firstLine="0"/>
            </w:pPr>
            <w:r>
              <w:rPr>
                <w:sz w:val="22"/>
              </w:rPr>
              <w:t xml:space="preserve">£40 per hour </w:t>
            </w:r>
          </w:p>
        </w:tc>
      </w:tr>
    </w:tbl>
    <w:tbl>
      <w:tblPr>
        <w:tblStyle w:val="TableGrid0"/>
        <w:tblW w:w="0" w:type="auto"/>
        <w:tblInd w:w="10" w:type="dxa"/>
        <w:tblLook w:val="04A0" w:firstRow="1" w:lastRow="0" w:firstColumn="1" w:lastColumn="0" w:noHBand="0" w:noVBand="1"/>
      </w:tblPr>
      <w:tblGrid>
        <w:gridCol w:w="8916"/>
      </w:tblGrid>
      <w:tr w:rsidR="008F6F08" w14:paraId="100DD72D" w14:textId="77777777" w:rsidTr="008F6F08">
        <w:tc>
          <w:tcPr>
            <w:tcW w:w="8916" w:type="dxa"/>
            <w:shd w:val="clear" w:color="auto" w:fill="424996"/>
          </w:tcPr>
          <w:p w14:paraId="460384E3" w14:textId="00D01E85" w:rsidR="008F6F08" w:rsidRDefault="008F6F08" w:rsidP="008F6F08">
            <w:pPr>
              <w:spacing w:after="107" w:line="259" w:lineRule="auto"/>
              <w:ind w:left="0" w:right="55" w:firstLine="0"/>
              <w:jc w:val="center"/>
            </w:pPr>
            <w:r>
              <w:rPr>
                <w:b/>
                <w:color w:val="FFFFFF"/>
                <w:sz w:val="22"/>
              </w:rPr>
              <w:t>Crown Court Exceptional Preparation Rates</w:t>
            </w:r>
          </w:p>
        </w:tc>
      </w:tr>
    </w:tbl>
    <w:tbl>
      <w:tblPr>
        <w:tblStyle w:val="TableGrid"/>
        <w:tblW w:w="8901" w:type="dxa"/>
        <w:tblInd w:w="13" w:type="dxa"/>
        <w:tblCellMar>
          <w:top w:w="49" w:type="dxa"/>
          <w:left w:w="107" w:type="dxa"/>
          <w:bottom w:w="0" w:type="dxa"/>
          <w:right w:w="54" w:type="dxa"/>
        </w:tblCellMar>
        <w:tblLook w:val="04A0" w:firstRow="1" w:lastRow="0" w:firstColumn="1" w:lastColumn="0" w:noHBand="0" w:noVBand="1"/>
      </w:tblPr>
      <w:tblGrid>
        <w:gridCol w:w="1256"/>
        <w:gridCol w:w="1258"/>
        <w:gridCol w:w="1258"/>
        <w:gridCol w:w="1258"/>
        <w:gridCol w:w="1258"/>
        <w:gridCol w:w="1224"/>
        <w:gridCol w:w="1389"/>
      </w:tblGrid>
      <w:tr w:rsidR="002C26E2" w14:paraId="09B53C86" w14:textId="77777777" w:rsidTr="009D5B98">
        <w:trPr>
          <w:trHeight w:val="1310"/>
        </w:trPr>
        <w:tc>
          <w:tcPr>
            <w:tcW w:w="1256" w:type="dxa"/>
            <w:tcBorders>
              <w:top w:val="single" w:sz="4" w:space="0" w:color="000000"/>
              <w:left w:val="single" w:sz="4" w:space="0" w:color="000000"/>
              <w:bottom w:val="single" w:sz="4" w:space="0" w:color="000000"/>
              <w:right w:val="single" w:sz="4" w:space="0" w:color="000000"/>
            </w:tcBorders>
          </w:tcPr>
          <w:p w14:paraId="55541FA0" w14:textId="77777777" w:rsidR="002C26E2" w:rsidRDefault="00812CB4">
            <w:pPr>
              <w:spacing w:after="0" w:line="259" w:lineRule="auto"/>
              <w:ind w:left="0" w:firstLine="0"/>
              <w:jc w:val="center"/>
            </w:pPr>
            <w:r>
              <w:rPr>
                <w:sz w:val="22"/>
              </w:rPr>
              <w:t xml:space="preserve">King’s </w:t>
            </w:r>
            <w:r>
              <w:rPr>
                <w:sz w:val="22"/>
              </w:rPr>
              <w:t xml:space="preserve">Counsel </w:t>
            </w:r>
          </w:p>
        </w:tc>
        <w:tc>
          <w:tcPr>
            <w:tcW w:w="1258" w:type="dxa"/>
            <w:tcBorders>
              <w:top w:val="single" w:sz="4" w:space="0" w:color="000000"/>
              <w:left w:val="single" w:sz="4" w:space="0" w:color="000000"/>
              <w:bottom w:val="single" w:sz="4" w:space="0" w:color="000000"/>
              <w:right w:val="single" w:sz="4" w:space="0" w:color="000000"/>
            </w:tcBorders>
          </w:tcPr>
          <w:p w14:paraId="174E2534" w14:textId="77777777" w:rsidR="002C26E2" w:rsidRDefault="00812CB4">
            <w:pPr>
              <w:spacing w:after="2" w:line="359" w:lineRule="auto"/>
              <w:ind w:left="0" w:firstLine="0"/>
              <w:jc w:val="center"/>
            </w:pPr>
            <w:r>
              <w:rPr>
                <w:sz w:val="22"/>
              </w:rPr>
              <w:t xml:space="preserve">Leading Junior </w:t>
            </w:r>
          </w:p>
          <w:p w14:paraId="2BF5FAD5" w14:textId="77777777" w:rsidR="002C26E2" w:rsidRDefault="00812CB4">
            <w:pPr>
              <w:spacing w:after="0" w:line="259" w:lineRule="auto"/>
              <w:ind w:left="0" w:right="52" w:firstLine="0"/>
              <w:jc w:val="center"/>
            </w:pPr>
            <w:r>
              <w:rPr>
                <w:sz w:val="22"/>
              </w:rPr>
              <w:t xml:space="preserve">Counsel </w:t>
            </w:r>
          </w:p>
        </w:tc>
        <w:tc>
          <w:tcPr>
            <w:tcW w:w="1258" w:type="dxa"/>
            <w:tcBorders>
              <w:top w:val="single" w:sz="4" w:space="0" w:color="000000"/>
              <w:left w:val="single" w:sz="4" w:space="0" w:color="000000"/>
              <w:bottom w:val="single" w:sz="4" w:space="0" w:color="000000"/>
              <w:right w:val="single" w:sz="4" w:space="0" w:color="000000"/>
            </w:tcBorders>
          </w:tcPr>
          <w:p w14:paraId="16A48709" w14:textId="77777777" w:rsidR="002C26E2" w:rsidRDefault="00812CB4">
            <w:pPr>
              <w:spacing w:after="105" w:line="259" w:lineRule="auto"/>
              <w:ind w:left="6" w:firstLine="0"/>
            </w:pPr>
            <w:r>
              <w:rPr>
                <w:sz w:val="22"/>
              </w:rPr>
              <w:t xml:space="preserve">Led Junior </w:t>
            </w:r>
          </w:p>
          <w:p w14:paraId="40DD2CF3" w14:textId="77777777" w:rsidR="002C26E2" w:rsidRDefault="00812CB4">
            <w:pPr>
              <w:spacing w:after="0" w:line="259" w:lineRule="auto"/>
              <w:ind w:left="0" w:right="51" w:firstLine="0"/>
              <w:jc w:val="center"/>
            </w:pPr>
            <w:r>
              <w:rPr>
                <w:sz w:val="22"/>
              </w:rPr>
              <w:t xml:space="preserve">Counsel </w:t>
            </w:r>
          </w:p>
        </w:tc>
        <w:tc>
          <w:tcPr>
            <w:tcW w:w="1258" w:type="dxa"/>
            <w:tcBorders>
              <w:top w:val="single" w:sz="4" w:space="0" w:color="000000"/>
              <w:left w:val="single" w:sz="4" w:space="0" w:color="000000"/>
              <w:bottom w:val="single" w:sz="4" w:space="0" w:color="000000"/>
              <w:right w:val="single" w:sz="4" w:space="0" w:color="000000"/>
            </w:tcBorders>
          </w:tcPr>
          <w:p w14:paraId="00124777" w14:textId="77777777" w:rsidR="002C26E2" w:rsidRDefault="00812CB4">
            <w:pPr>
              <w:spacing w:after="105" w:line="259" w:lineRule="auto"/>
              <w:ind w:left="0" w:right="54" w:firstLine="0"/>
              <w:jc w:val="center"/>
            </w:pPr>
            <w:r>
              <w:rPr>
                <w:sz w:val="22"/>
              </w:rPr>
              <w:t xml:space="preserve">Sole </w:t>
            </w:r>
          </w:p>
          <w:p w14:paraId="584C43E5" w14:textId="77777777" w:rsidR="002C26E2" w:rsidRDefault="00812CB4">
            <w:pPr>
              <w:spacing w:after="107" w:line="259" w:lineRule="auto"/>
              <w:ind w:left="0" w:right="53" w:firstLine="0"/>
              <w:jc w:val="center"/>
            </w:pPr>
            <w:r>
              <w:rPr>
                <w:sz w:val="22"/>
              </w:rPr>
              <w:t xml:space="preserve">Junior </w:t>
            </w:r>
          </w:p>
          <w:p w14:paraId="00D593B8" w14:textId="77777777" w:rsidR="002C26E2" w:rsidRDefault="00812CB4">
            <w:pPr>
              <w:spacing w:after="0" w:line="259" w:lineRule="auto"/>
              <w:ind w:left="0" w:right="51" w:firstLine="0"/>
              <w:jc w:val="center"/>
            </w:pPr>
            <w:r>
              <w:rPr>
                <w:sz w:val="22"/>
              </w:rPr>
              <w:t xml:space="preserve">Counsel </w:t>
            </w:r>
          </w:p>
        </w:tc>
        <w:tc>
          <w:tcPr>
            <w:tcW w:w="1258" w:type="dxa"/>
            <w:tcBorders>
              <w:top w:val="single" w:sz="4" w:space="0" w:color="000000"/>
              <w:left w:val="single" w:sz="4" w:space="0" w:color="000000"/>
              <w:bottom w:val="single" w:sz="4" w:space="0" w:color="000000"/>
              <w:right w:val="single" w:sz="4" w:space="0" w:color="000000"/>
            </w:tcBorders>
          </w:tcPr>
          <w:p w14:paraId="1C90ADB2" w14:textId="77777777" w:rsidR="002C26E2" w:rsidRDefault="00812CB4">
            <w:pPr>
              <w:spacing w:after="105" w:line="259" w:lineRule="auto"/>
              <w:ind w:left="0" w:right="56" w:firstLine="0"/>
              <w:jc w:val="center"/>
            </w:pPr>
            <w:r>
              <w:rPr>
                <w:sz w:val="22"/>
              </w:rPr>
              <w:t xml:space="preserve">Senior </w:t>
            </w:r>
          </w:p>
          <w:p w14:paraId="756453D0" w14:textId="77777777" w:rsidR="002C26E2" w:rsidRDefault="00812CB4">
            <w:pPr>
              <w:spacing w:after="0" w:line="259" w:lineRule="auto"/>
              <w:ind w:left="0" w:right="54" w:firstLine="0"/>
              <w:jc w:val="center"/>
            </w:pPr>
            <w:r>
              <w:rPr>
                <w:sz w:val="22"/>
              </w:rPr>
              <w:t xml:space="preserve">Solicitor </w:t>
            </w:r>
          </w:p>
        </w:tc>
        <w:tc>
          <w:tcPr>
            <w:tcW w:w="1224" w:type="dxa"/>
            <w:tcBorders>
              <w:top w:val="single" w:sz="4" w:space="0" w:color="000000"/>
              <w:left w:val="single" w:sz="4" w:space="0" w:color="000000"/>
              <w:bottom w:val="single" w:sz="4" w:space="0" w:color="000000"/>
              <w:right w:val="single" w:sz="4" w:space="0" w:color="000000"/>
            </w:tcBorders>
          </w:tcPr>
          <w:p w14:paraId="24F04937" w14:textId="77777777" w:rsidR="002C26E2" w:rsidRDefault="00812CB4">
            <w:pPr>
              <w:spacing w:after="0" w:line="259" w:lineRule="auto"/>
              <w:ind w:left="0" w:right="53" w:firstLine="0"/>
              <w:jc w:val="center"/>
            </w:pPr>
            <w:r>
              <w:rPr>
                <w:sz w:val="22"/>
              </w:rPr>
              <w:t xml:space="preserve">Solicitor </w:t>
            </w:r>
          </w:p>
        </w:tc>
        <w:tc>
          <w:tcPr>
            <w:tcW w:w="1389" w:type="dxa"/>
            <w:tcBorders>
              <w:top w:val="single" w:sz="4" w:space="0" w:color="000000"/>
              <w:left w:val="single" w:sz="4" w:space="0" w:color="000000"/>
              <w:bottom w:val="single" w:sz="4" w:space="0" w:color="000000"/>
              <w:right w:val="single" w:sz="4" w:space="0" w:color="000000"/>
            </w:tcBorders>
          </w:tcPr>
          <w:p w14:paraId="31357B67" w14:textId="77777777" w:rsidR="002C26E2" w:rsidRDefault="00812CB4">
            <w:pPr>
              <w:spacing w:after="4" w:line="359" w:lineRule="auto"/>
              <w:ind w:left="0" w:firstLine="0"/>
              <w:jc w:val="center"/>
            </w:pPr>
            <w:r>
              <w:rPr>
                <w:sz w:val="22"/>
              </w:rPr>
              <w:t xml:space="preserve">Apprentice or </w:t>
            </w:r>
          </w:p>
          <w:p w14:paraId="6BCBEFA3" w14:textId="77777777" w:rsidR="002C26E2" w:rsidRDefault="00812CB4">
            <w:pPr>
              <w:spacing w:after="0" w:line="259" w:lineRule="auto"/>
              <w:ind w:left="0" w:right="55" w:firstLine="0"/>
              <w:jc w:val="center"/>
            </w:pPr>
            <w:r>
              <w:rPr>
                <w:sz w:val="22"/>
              </w:rPr>
              <w:t xml:space="preserve">equivalent </w:t>
            </w:r>
          </w:p>
        </w:tc>
      </w:tr>
      <w:tr w:rsidR="002C26E2" w14:paraId="5AA914ED" w14:textId="77777777" w:rsidTr="009D5B98">
        <w:trPr>
          <w:trHeight w:val="931"/>
        </w:trPr>
        <w:tc>
          <w:tcPr>
            <w:tcW w:w="1256" w:type="dxa"/>
            <w:tcBorders>
              <w:top w:val="single" w:sz="4" w:space="0" w:color="000000"/>
              <w:left w:val="single" w:sz="4" w:space="0" w:color="000000"/>
              <w:bottom w:val="single" w:sz="4" w:space="0" w:color="000000"/>
              <w:right w:val="single" w:sz="4" w:space="0" w:color="000000"/>
            </w:tcBorders>
          </w:tcPr>
          <w:p w14:paraId="08DFA159" w14:textId="77777777" w:rsidR="002C26E2" w:rsidRDefault="00812CB4">
            <w:pPr>
              <w:spacing w:after="0" w:line="259" w:lineRule="auto"/>
              <w:ind w:left="0" w:firstLine="0"/>
              <w:jc w:val="center"/>
            </w:pPr>
            <w:r>
              <w:rPr>
                <w:sz w:val="22"/>
              </w:rPr>
              <w:t xml:space="preserve">£130 per hour </w:t>
            </w:r>
          </w:p>
        </w:tc>
        <w:tc>
          <w:tcPr>
            <w:tcW w:w="1258" w:type="dxa"/>
            <w:tcBorders>
              <w:top w:val="single" w:sz="4" w:space="0" w:color="000000"/>
              <w:left w:val="single" w:sz="4" w:space="0" w:color="000000"/>
              <w:bottom w:val="single" w:sz="4" w:space="0" w:color="000000"/>
              <w:right w:val="single" w:sz="4" w:space="0" w:color="000000"/>
            </w:tcBorders>
          </w:tcPr>
          <w:p w14:paraId="063D7D72" w14:textId="77777777" w:rsidR="002C26E2" w:rsidRDefault="00812CB4">
            <w:pPr>
              <w:spacing w:after="0" w:line="259" w:lineRule="auto"/>
              <w:ind w:left="0" w:firstLine="0"/>
              <w:jc w:val="center"/>
            </w:pPr>
            <w:r>
              <w:rPr>
                <w:sz w:val="22"/>
              </w:rPr>
              <w:t xml:space="preserve">£105 per hour </w:t>
            </w:r>
          </w:p>
        </w:tc>
        <w:tc>
          <w:tcPr>
            <w:tcW w:w="1258" w:type="dxa"/>
            <w:tcBorders>
              <w:top w:val="single" w:sz="4" w:space="0" w:color="000000"/>
              <w:left w:val="single" w:sz="4" w:space="0" w:color="000000"/>
              <w:bottom w:val="single" w:sz="4" w:space="0" w:color="000000"/>
              <w:right w:val="single" w:sz="4" w:space="0" w:color="000000"/>
            </w:tcBorders>
          </w:tcPr>
          <w:p w14:paraId="0002350B" w14:textId="77777777" w:rsidR="002C26E2" w:rsidRDefault="00812CB4">
            <w:pPr>
              <w:spacing w:after="0" w:line="259" w:lineRule="auto"/>
              <w:ind w:left="0" w:firstLine="0"/>
              <w:jc w:val="center"/>
            </w:pPr>
            <w:r>
              <w:rPr>
                <w:sz w:val="22"/>
              </w:rPr>
              <w:t xml:space="preserve">£80 per hour </w:t>
            </w:r>
          </w:p>
        </w:tc>
        <w:tc>
          <w:tcPr>
            <w:tcW w:w="1258" w:type="dxa"/>
            <w:tcBorders>
              <w:top w:val="single" w:sz="4" w:space="0" w:color="000000"/>
              <w:left w:val="single" w:sz="4" w:space="0" w:color="000000"/>
              <w:bottom w:val="single" w:sz="4" w:space="0" w:color="000000"/>
              <w:right w:val="single" w:sz="4" w:space="0" w:color="000000"/>
            </w:tcBorders>
          </w:tcPr>
          <w:p w14:paraId="6FB98411" w14:textId="77777777" w:rsidR="002C26E2" w:rsidRDefault="00812CB4">
            <w:pPr>
              <w:spacing w:after="0" w:line="259" w:lineRule="auto"/>
              <w:ind w:left="0" w:firstLine="0"/>
              <w:jc w:val="center"/>
            </w:pPr>
            <w:r>
              <w:rPr>
                <w:sz w:val="22"/>
              </w:rPr>
              <w:t xml:space="preserve">£90 per hour </w:t>
            </w:r>
          </w:p>
        </w:tc>
        <w:tc>
          <w:tcPr>
            <w:tcW w:w="1258" w:type="dxa"/>
            <w:tcBorders>
              <w:top w:val="single" w:sz="4" w:space="0" w:color="000000"/>
              <w:left w:val="single" w:sz="4" w:space="0" w:color="000000"/>
              <w:bottom w:val="single" w:sz="4" w:space="0" w:color="000000"/>
              <w:right w:val="single" w:sz="4" w:space="0" w:color="000000"/>
            </w:tcBorders>
          </w:tcPr>
          <w:p w14:paraId="3B0C6C4D" w14:textId="77777777" w:rsidR="002C26E2" w:rsidRDefault="00812CB4">
            <w:pPr>
              <w:spacing w:after="0" w:line="259" w:lineRule="auto"/>
              <w:ind w:left="0" w:firstLine="0"/>
              <w:jc w:val="center"/>
            </w:pPr>
            <w:r>
              <w:rPr>
                <w:sz w:val="22"/>
              </w:rPr>
              <w:t xml:space="preserve">£130 per hour </w:t>
            </w:r>
          </w:p>
        </w:tc>
        <w:tc>
          <w:tcPr>
            <w:tcW w:w="1224" w:type="dxa"/>
            <w:tcBorders>
              <w:top w:val="single" w:sz="4" w:space="0" w:color="000000"/>
              <w:left w:val="single" w:sz="4" w:space="0" w:color="000000"/>
              <w:bottom w:val="single" w:sz="4" w:space="0" w:color="000000"/>
              <w:right w:val="single" w:sz="4" w:space="0" w:color="000000"/>
            </w:tcBorders>
          </w:tcPr>
          <w:p w14:paraId="66A38B6E" w14:textId="77777777" w:rsidR="002C26E2" w:rsidRDefault="00812CB4">
            <w:pPr>
              <w:spacing w:after="0" w:line="259" w:lineRule="auto"/>
              <w:ind w:left="0" w:firstLine="0"/>
              <w:jc w:val="center"/>
            </w:pPr>
            <w:r>
              <w:rPr>
                <w:sz w:val="22"/>
              </w:rPr>
              <w:t xml:space="preserve">£90 per hour </w:t>
            </w:r>
          </w:p>
        </w:tc>
        <w:tc>
          <w:tcPr>
            <w:tcW w:w="1389" w:type="dxa"/>
            <w:tcBorders>
              <w:top w:val="single" w:sz="4" w:space="0" w:color="000000"/>
              <w:left w:val="single" w:sz="4" w:space="0" w:color="000000"/>
              <w:bottom w:val="single" w:sz="4" w:space="0" w:color="000000"/>
              <w:right w:val="single" w:sz="4" w:space="0" w:color="000000"/>
            </w:tcBorders>
          </w:tcPr>
          <w:p w14:paraId="2B28E36A" w14:textId="77777777" w:rsidR="002C26E2" w:rsidRDefault="00812CB4">
            <w:pPr>
              <w:spacing w:after="0" w:line="259" w:lineRule="auto"/>
              <w:ind w:left="9" w:firstLine="0"/>
              <w:jc w:val="center"/>
            </w:pPr>
            <w:r>
              <w:rPr>
                <w:sz w:val="22"/>
              </w:rPr>
              <w:t xml:space="preserve">£50 per hour </w:t>
            </w:r>
          </w:p>
        </w:tc>
      </w:tr>
    </w:tbl>
    <w:p w14:paraId="2394A383" w14:textId="77777777" w:rsidR="002C26E2" w:rsidRDefault="00812CB4">
      <w:pPr>
        <w:spacing w:after="357" w:line="259" w:lineRule="auto"/>
        <w:ind w:left="12" w:firstLine="0"/>
      </w:pPr>
      <w:r>
        <w:t xml:space="preserve"> </w:t>
      </w:r>
    </w:p>
    <w:p w14:paraId="1851A325" w14:textId="77777777" w:rsidR="002C26E2" w:rsidRDefault="00812CB4">
      <w:pPr>
        <w:spacing w:line="259" w:lineRule="auto"/>
        <w:ind w:left="7" w:right="225"/>
      </w:pPr>
      <w:r>
        <w:t xml:space="preserve">This framework assumes that EP is: </w:t>
      </w:r>
    </w:p>
    <w:p w14:paraId="0EEC9205" w14:textId="77777777" w:rsidR="002C26E2" w:rsidRDefault="00812CB4">
      <w:pPr>
        <w:numPr>
          <w:ilvl w:val="0"/>
          <w:numId w:val="32"/>
        </w:numPr>
        <w:spacing w:line="259" w:lineRule="auto"/>
        <w:ind w:right="225" w:hanging="355"/>
      </w:pPr>
      <w:r>
        <w:t xml:space="preserve">exceptional in nature, </w:t>
      </w:r>
    </w:p>
    <w:p w14:paraId="24AA798C" w14:textId="77777777" w:rsidR="002C26E2" w:rsidRDefault="00812CB4">
      <w:pPr>
        <w:numPr>
          <w:ilvl w:val="0"/>
          <w:numId w:val="32"/>
        </w:numPr>
        <w:spacing w:line="259" w:lineRule="auto"/>
        <w:ind w:right="225" w:hanging="355"/>
      </w:pPr>
      <w:r>
        <w:t xml:space="preserve">limited in volume, </w:t>
      </w:r>
    </w:p>
    <w:p w14:paraId="3B05BE63" w14:textId="77777777" w:rsidR="002C26E2" w:rsidRDefault="00812CB4">
      <w:pPr>
        <w:numPr>
          <w:ilvl w:val="0"/>
          <w:numId w:val="32"/>
        </w:numPr>
        <w:ind w:right="225" w:hanging="355"/>
      </w:pPr>
      <w:r>
        <w:t xml:space="preserve">applied only where standard fees do not reasonably compensate the work undertaken. </w:t>
      </w:r>
    </w:p>
    <w:p w14:paraId="66659D3A" w14:textId="77777777" w:rsidR="002C26E2" w:rsidRDefault="00812CB4">
      <w:pPr>
        <w:ind w:left="7" w:right="225"/>
      </w:pPr>
      <w:r>
        <w:t xml:space="preserve">In addition, where a solicitor exercises his rights of audience and conducts a Crown Court trial or hearing, different hourly rates are payable based on the duration of their standing. These hourly rates were also set in 2016 and are derived from the Sole Junior Counsel rates payable. </w:t>
      </w:r>
    </w:p>
    <w:p w14:paraId="634D9BED" w14:textId="77777777" w:rsidR="002C26E2" w:rsidRDefault="00812CB4">
      <w:pPr>
        <w:spacing w:after="0" w:line="259" w:lineRule="auto"/>
        <w:ind w:left="12" w:firstLine="0"/>
      </w:pPr>
      <w:r>
        <w:t xml:space="preserve"> </w:t>
      </w:r>
    </w:p>
    <w:tbl>
      <w:tblPr>
        <w:tblStyle w:val="TableGrid"/>
        <w:tblW w:w="9016" w:type="dxa"/>
        <w:tblInd w:w="18" w:type="dxa"/>
        <w:tblCellMar>
          <w:top w:w="52" w:type="dxa"/>
          <w:left w:w="107" w:type="dxa"/>
          <w:bottom w:w="0" w:type="dxa"/>
          <w:right w:w="57" w:type="dxa"/>
        </w:tblCellMar>
        <w:tblLook w:val="04A0" w:firstRow="1" w:lastRow="0" w:firstColumn="1" w:lastColumn="0" w:noHBand="0" w:noVBand="1"/>
      </w:tblPr>
      <w:tblGrid>
        <w:gridCol w:w="4507"/>
        <w:gridCol w:w="4509"/>
      </w:tblGrid>
      <w:tr w:rsidR="002C26E2" w14:paraId="182FACDA" w14:textId="77777777">
        <w:trPr>
          <w:trHeight w:val="108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424996"/>
          </w:tcPr>
          <w:p w14:paraId="3363B57B" w14:textId="77777777" w:rsidR="002C26E2" w:rsidRDefault="00812CB4">
            <w:pPr>
              <w:spacing w:after="266" w:line="259" w:lineRule="auto"/>
              <w:ind w:left="91" w:firstLine="0"/>
            </w:pPr>
            <w:r>
              <w:rPr>
                <w:b/>
                <w:color w:val="FFFFFF"/>
                <w:sz w:val="22"/>
              </w:rPr>
              <w:t xml:space="preserve">Crown Court Exceptional Preparation Rates - Solicitor Conducting Hearing or Trial </w:t>
            </w:r>
          </w:p>
          <w:p w14:paraId="1335F61F" w14:textId="77777777" w:rsidR="002C26E2" w:rsidRDefault="00812CB4">
            <w:pPr>
              <w:spacing w:after="0" w:line="259" w:lineRule="auto"/>
              <w:ind w:left="0" w:firstLine="0"/>
            </w:pPr>
            <w:r>
              <w:rPr>
                <w:sz w:val="22"/>
              </w:rPr>
              <w:t xml:space="preserve"> </w:t>
            </w:r>
          </w:p>
        </w:tc>
      </w:tr>
      <w:tr w:rsidR="002C26E2" w14:paraId="5C4D1A9A" w14:textId="77777777">
        <w:trPr>
          <w:trHeight w:val="551"/>
        </w:trPr>
        <w:tc>
          <w:tcPr>
            <w:tcW w:w="4507" w:type="dxa"/>
            <w:tcBorders>
              <w:top w:val="single" w:sz="4" w:space="0" w:color="000000"/>
              <w:left w:val="single" w:sz="4" w:space="0" w:color="000000"/>
              <w:bottom w:val="single" w:sz="4" w:space="0" w:color="000000"/>
              <w:right w:val="single" w:sz="4" w:space="0" w:color="000000"/>
            </w:tcBorders>
          </w:tcPr>
          <w:p w14:paraId="7806D366" w14:textId="77777777" w:rsidR="002C26E2" w:rsidRDefault="00812CB4">
            <w:pPr>
              <w:spacing w:after="0" w:line="259" w:lineRule="auto"/>
              <w:ind w:left="0" w:firstLine="0"/>
            </w:pPr>
            <w:r>
              <w:rPr>
                <w:sz w:val="22"/>
              </w:rPr>
              <w:t xml:space="preserve">Solicitor with at least 3 years standing </w:t>
            </w:r>
          </w:p>
        </w:tc>
        <w:tc>
          <w:tcPr>
            <w:tcW w:w="4509" w:type="dxa"/>
            <w:tcBorders>
              <w:top w:val="single" w:sz="4" w:space="0" w:color="000000"/>
              <w:left w:val="single" w:sz="4" w:space="0" w:color="000000"/>
              <w:bottom w:val="single" w:sz="4" w:space="0" w:color="000000"/>
              <w:right w:val="single" w:sz="4" w:space="0" w:color="000000"/>
            </w:tcBorders>
          </w:tcPr>
          <w:p w14:paraId="38E8F6B4" w14:textId="77777777" w:rsidR="002C26E2" w:rsidRDefault="00812CB4">
            <w:pPr>
              <w:spacing w:after="0" w:line="259" w:lineRule="auto"/>
              <w:ind w:left="1" w:firstLine="0"/>
            </w:pPr>
            <w:r>
              <w:rPr>
                <w:sz w:val="22"/>
              </w:rPr>
              <w:t>Solicitor with less than three years’ standing</w:t>
            </w:r>
            <w:r>
              <w:rPr>
                <w:sz w:val="22"/>
              </w:rPr>
              <w:t xml:space="preserve"> </w:t>
            </w:r>
          </w:p>
        </w:tc>
      </w:tr>
      <w:tr w:rsidR="002C26E2" w14:paraId="65BFAC84" w14:textId="77777777">
        <w:trPr>
          <w:trHeight w:val="550"/>
        </w:trPr>
        <w:tc>
          <w:tcPr>
            <w:tcW w:w="4507" w:type="dxa"/>
            <w:tcBorders>
              <w:top w:val="single" w:sz="4" w:space="0" w:color="000000"/>
              <w:left w:val="single" w:sz="4" w:space="0" w:color="000000"/>
              <w:bottom w:val="single" w:sz="4" w:space="0" w:color="000000"/>
              <w:right w:val="single" w:sz="4" w:space="0" w:color="000000"/>
            </w:tcBorders>
          </w:tcPr>
          <w:p w14:paraId="15025D2A" w14:textId="77777777" w:rsidR="002C26E2" w:rsidRDefault="00812CB4">
            <w:pPr>
              <w:spacing w:after="0" w:line="259" w:lineRule="auto"/>
              <w:ind w:left="0" w:firstLine="0"/>
            </w:pPr>
            <w:r>
              <w:rPr>
                <w:sz w:val="22"/>
              </w:rPr>
              <w:t xml:space="preserve">£90 per hour </w:t>
            </w:r>
          </w:p>
        </w:tc>
        <w:tc>
          <w:tcPr>
            <w:tcW w:w="4509" w:type="dxa"/>
            <w:tcBorders>
              <w:top w:val="single" w:sz="4" w:space="0" w:color="000000"/>
              <w:left w:val="single" w:sz="4" w:space="0" w:color="000000"/>
              <w:bottom w:val="single" w:sz="4" w:space="0" w:color="000000"/>
              <w:right w:val="single" w:sz="4" w:space="0" w:color="000000"/>
            </w:tcBorders>
          </w:tcPr>
          <w:p w14:paraId="16BCD838" w14:textId="77777777" w:rsidR="002C26E2" w:rsidRDefault="00812CB4">
            <w:pPr>
              <w:spacing w:after="0" w:line="259" w:lineRule="auto"/>
              <w:ind w:left="1" w:firstLine="0"/>
            </w:pPr>
            <w:r>
              <w:rPr>
                <w:sz w:val="22"/>
              </w:rPr>
              <w:t xml:space="preserve">£45 per hour </w:t>
            </w:r>
          </w:p>
        </w:tc>
      </w:tr>
    </w:tbl>
    <w:p w14:paraId="054A2B6F" w14:textId="77777777" w:rsidR="002C26E2" w:rsidRDefault="00812CB4" w:rsidP="00444ECE">
      <w:pPr>
        <w:pStyle w:val="Heading2"/>
        <w:spacing w:before="240" w:after="315"/>
        <w:ind w:left="849" w:right="200" w:hanging="852"/>
      </w:pPr>
      <w:bookmarkStart w:id="42" w:name="_Toc107580"/>
      <w:r>
        <w:rPr>
          <w:sz w:val="28"/>
        </w:rPr>
        <w:t>E</w:t>
      </w:r>
      <w:r>
        <w:t>MPIRICAL</w:t>
      </w:r>
      <w:r>
        <w:rPr>
          <w:color w:val="004E9A"/>
        </w:rPr>
        <w:t xml:space="preserve"> EVIDENCE ON </w:t>
      </w:r>
      <w:r>
        <w:rPr>
          <w:color w:val="004E9A"/>
          <w:sz w:val="28"/>
        </w:rPr>
        <w:t>EP</w:t>
      </w:r>
      <w:r>
        <w:rPr>
          <w:color w:val="004E9A"/>
        </w:rPr>
        <w:t xml:space="preserve"> USAGE</w:t>
      </w:r>
      <w:r>
        <w:rPr>
          <w:color w:val="004E9A"/>
          <w:sz w:val="28"/>
        </w:rPr>
        <w:t xml:space="preserve"> </w:t>
      </w:r>
      <w:bookmarkEnd w:id="42"/>
    </w:p>
    <w:p w14:paraId="0970EEE2" w14:textId="77777777" w:rsidR="002C26E2" w:rsidRDefault="00812CB4">
      <w:pPr>
        <w:spacing w:after="388" w:line="265" w:lineRule="auto"/>
        <w:ind w:left="7"/>
      </w:pPr>
      <w:r>
        <w:rPr>
          <w:u w:val="single" w:color="000000"/>
        </w:rPr>
        <w:t>EP costs attributed to reading (PPE)</w:t>
      </w:r>
      <w:r>
        <w:t xml:space="preserve"> </w:t>
      </w:r>
    </w:p>
    <w:p w14:paraId="4C89185C" w14:textId="77777777" w:rsidR="002C26E2" w:rsidRDefault="00812CB4">
      <w:pPr>
        <w:spacing w:after="272"/>
        <w:ind w:left="7" w:right="225"/>
      </w:pPr>
      <w:r>
        <w:t xml:space="preserve">Data obtained from the Department of Justice shows that a </w:t>
      </w:r>
      <w:r>
        <w:rPr>
          <w:b/>
        </w:rPr>
        <w:t>substantial proportion of EP claims relate to reading activities</w:t>
      </w:r>
      <w:r>
        <w:t xml:space="preserve">, particularly PPE. </w:t>
      </w:r>
    </w:p>
    <w:p w14:paraId="42786D78" w14:textId="77777777" w:rsidR="002C26E2" w:rsidRDefault="00812CB4">
      <w:pPr>
        <w:spacing w:after="125" w:line="259" w:lineRule="auto"/>
        <w:ind w:left="7" w:right="225"/>
      </w:pPr>
      <w:r>
        <w:t xml:space="preserve">For </w:t>
      </w:r>
      <w:r>
        <w:rPr>
          <w:b/>
        </w:rPr>
        <w:t>2025</w:t>
      </w:r>
      <w:r>
        <w:t>, EP costs attributable to reading in the m</w:t>
      </w:r>
      <w:r>
        <w:t xml:space="preserve">agistrate’s </w:t>
      </w:r>
      <w:r>
        <w:t xml:space="preserve">court amounted to: </w:t>
      </w:r>
    </w:p>
    <w:tbl>
      <w:tblPr>
        <w:tblStyle w:val="TableGrid"/>
        <w:tblW w:w="7576" w:type="dxa"/>
        <w:tblInd w:w="13" w:type="dxa"/>
        <w:tblCellMar>
          <w:top w:w="52" w:type="dxa"/>
          <w:left w:w="107" w:type="dxa"/>
          <w:bottom w:w="0" w:type="dxa"/>
          <w:right w:w="45" w:type="dxa"/>
        </w:tblCellMar>
        <w:tblLook w:val="04A0" w:firstRow="1" w:lastRow="0" w:firstColumn="1" w:lastColumn="0" w:noHBand="0" w:noVBand="1"/>
      </w:tblPr>
      <w:tblGrid>
        <w:gridCol w:w="5675"/>
        <w:gridCol w:w="1901"/>
      </w:tblGrid>
      <w:tr w:rsidR="002C26E2" w14:paraId="277C7D2F" w14:textId="77777777">
        <w:trPr>
          <w:trHeight w:val="547"/>
        </w:trPr>
        <w:tc>
          <w:tcPr>
            <w:tcW w:w="5675" w:type="dxa"/>
            <w:tcBorders>
              <w:top w:val="single" w:sz="4" w:space="0" w:color="000000"/>
              <w:left w:val="single" w:sz="4" w:space="0" w:color="000000"/>
              <w:bottom w:val="single" w:sz="4" w:space="0" w:color="000000"/>
              <w:right w:val="single" w:sz="4" w:space="0" w:color="000000"/>
            </w:tcBorders>
            <w:shd w:val="clear" w:color="auto" w:fill="424996"/>
          </w:tcPr>
          <w:p w14:paraId="210C6B96" w14:textId="77777777" w:rsidR="002C26E2" w:rsidRDefault="00812CB4">
            <w:pPr>
              <w:spacing w:after="0" w:line="259" w:lineRule="auto"/>
              <w:ind w:left="0" w:firstLine="0"/>
            </w:pPr>
            <w:r>
              <w:rPr>
                <w:b/>
                <w:color w:val="FFFFFF"/>
                <w:sz w:val="22"/>
              </w:rPr>
              <w:t xml:space="preserve">Magistrates Court - Level of Representative </w:t>
            </w:r>
          </w:p>
        </w:tc>
        <w:tc>
          <w:tcPr>
            <w:tcW w:w="1901" w:type="dxa"/>
            <w:tcBorders>
              <w:top w:val="single" w:sz="4" w:space="0" w:color="000000"/>
              <w:left w:val="single" w:sz="4" w:space="0" w:color="000000"/>
              <w:bottom w:val="single" w:sz="4" w:space="0" w:color="000000"/>
              <w:right w:val="single" w:sz="4" w:space="0" w:color="000000"/>
            </w:tcBorders>
            <w:shd w:val="clear" w:color="auto" w:fill="424996"/>
          </w:tcPr>
          <w:p w14:paraId="74882EE8" w14:textId="77777777" w:rsidR="002C26E2" w:rsidRDefault="00812CB4">
            <w:pPr>
              <w:spacing w:after="0" w:line="259" w:lineRule="auto"/>
              <w:ind w:left="2" w:firstLine="0"/>
            </w:pPr>
            <w:r>
              <w:rPr>
                <w:b/>
                <w:color w:val="FFFFFF"/>
                <w:sz w:val="22"/>
              </w:rPr>
              <w:t xml:space="preserve">Total Cost 2025 </w:t>
            </w:r>
          </w:p>
        </w:tc>
      </w:tr>
      <w:tr w:rsidR="002C26E2" w14:paraId="0482315E" w14:textId="77777777">
        <w:trPr>
          <w:trHeight w:val="551"/>
        </w:trPr>
        <w:tc>
          <w:tcPr>
            <w:tcW w:w="5675" w:type="dxa"/>
            <w:tcBorders>
              <w:top w:val="single" w:sz="4" w:space="0" w:color="000000"/>
              <w:left w:val="single" w:sz="4" w:space="0" w:color="000000"/>
              <w:bottom w:val="single" w:sz="4" w:space="0" w:color="000000"/>
              <w:right w:val="single" w:sz="4" w:space="0" w:color="000000"/>
            </w:tcBorders>
          </w:tcPr>
          <w:p w14:paraId="6DDB3423" w14:textId="77777777" w:rsidR="002C26E2" w:rsidRDefault="00812CB4">
            <w:pPr>
              <w:spacing w:after="0" w:line="259" w:lineRule="auto"/>
              <w:ind w:left="0" w:firstLine="0"/>
            </w:pPr>
            <w:r>
              <w:rPr>
                <w:sz w:val="22"/>
              </w:rPr>
              <w:t xml:space="preserve">Exceptional Preparation (Apprentice) - Reading </w:t>
            </w:r>
          </w:p>
        </w:tc>
        <w:tc>
          <w:tcPr>
            <w:tcW w:w="1901" w:type="dxa"/>
            <w:tcBorders>
              <w:top w:val="single" w:sz="4" w:space="0" w:color="000000"/>
              <w:left w:val="single" w:sz="4" w:space="0" w:color="000000"/>
              <w:bottom w:val="single" w:sz="4" w:space="0" w:color="000000"/>
              <w:right w:val="single" w:sz="4" w:space="0" w:color="000000"/>
            </w:tcBorders>
          </w:tcPr>
          <w:p w14:paraId="0D6C082C" w14:textId="77777777" w:rsidR="002C26E2" w:rsidRDefault="00812CB4">
            <w:pPr>
              <w:spacing w:after="0" w:line="259" w:lineRule="auto"/>
              <w:ind w:left="0" w:right="59" w:firstLine="0"/>
              <w:jc w:val="right"/>
            </w:pPr>
            <w:r>
              <w:rPr>
                <w:sz w:val="22"/>
              </w:rPr>
              <w:t xml:space="preserve">£2,087 </w:t>
            </w:r>
          </w:p>
        </w:tc>
      </w:tr>
      <w:tr w:rsidR="002C26E2" w14:paraId="3AD5A73A" w14:textId="77777777">
        <w:trPr>
          <w:trHeight w:val="550"/>
        </w:trPr>
        <w:tc>
          <w:tcPr>
            <w:tcW w:w="5675" w:type="dxa"/>
            <w:tcBorders>
              <w:top w:val="single" w:sz="4" w:space="0" w:color="000000"/>
              <w:left w:val="single" w:sz="4" w:space="0" w:color="000000"/>
              <w:bottom w:val="single" w:sz="4" w:space="0" w:color="000000"/>
              <w:right w:val="single" w:sz="4" w:space="0" w:color="000000"/>
            </w:tcBorders>
          </w:tcPr>
          <w:p w14:paraId="11AC8B2A" w14:textId="77777777" w:rsidR="002C26E2" w:rsidRDefault="00812CB4">
            <w:pPr>
              <w:spacing w:after="0" w:line="259" w:lineRule="auto"/>
              <w:ind w:left="0" w:firstLine="0"/>
            </w:pPr>
            <w:r>
              <w:rPr>
                <w:sz w:val="22"/>
              </w:rPr>
              <w:t xml:space="preserve">Exceptional Preparation (Senior Solicitor) - Reading </w:t>
            </w:r>
          </w:p>
        </w:tc>
        <w:tc>
          <w:tcPr>
            <w:tcW w:w="1901" w:type="dxa"/>
            <w:tcBorders>
              <w:top w:val="single" w:sz="4" w:space="0" w:color="000000"/>
              <w:left w:val="single" w:sz="4" w:space="0" w:color="000000"/>
              <w:bottom w:val="single" w:sz="4" w:space="0" w:color="000000"/>
              <w:right w:val="single" w:sz="4" w:space="0" w:color="000000"/>
            </w:tcBorders>
          </w:tcPr>
          <w:p w14:paraId="23637D96" w14:textId="77777777" w:rsidR="002C26E2" w:rsidRDefault="00812CB4">
            <w:pPr>
              <w:spacing w:after="0" w:line="259" w:lineRule="auto"/>
              <w:ind w:left="0" w:right="59" w:firstLine="0"/>
              <w:jc w:val="right"/>
            </w:pPr>
            <w:r>
              <w:rPr>
                <w:sz w:val="22"/>
              </w:rPr>
              <w:t xml:space="preserve">£369,067 </w:t>
            </w:r>
          </w:p>
        </w:tc>
      </w:tr>
      <w:tr w:rsidR="002C26E2" w14:paraId="3462EA72" w14:textId="77777777">
        <w:trPr>
          <w:trHeight w:val="550"/>
        </w:trPr>
        <w:tc>
          <w:tcPr>
            <w:tcW w:w="5675" w:type="dxa"/>
            <w:tcBorders>
              <w:top w:val="single" w:sz="4" w:space="0" w:color="000000"/>
              <w:left w:val="single" w:sz="4" w:space="0" w:color="000000"/>
              <w:bottom w:val="single" w:sz="4" w:space="0" w:color="000000"/>
              <w:right w:val="single" w:sz="4" w:space="0" w:color="000000"/>
            </w:tcBorders>
          </w:tcPr>
          <w:p w14:paraId="317D3DB4" w14:textId="77777777" w:rsidR="002C26E2" w:rsidRDefault="00812CB4">
            <w:pPr>
              <w:spacing w:after="0" w:line="259" w:lineRule="auto"/>
              <w:ind w:left="0" w:firstLine="0"/>
            </w:pPr>
            <w:r>
              <w:rPr>
                <w:sz w:val="22"/>
              </w:rPr>
              <w:t xml:space="preserve">Exceptional Preparation (Solicitor) - Reading </w:t>
            </w:r>
          </w:p>
        </w:tc>
        <w:tc>
          <w:tcPr>
            <w:tcW w:w="1901" w:type="dxa"/>
            <w:tcBorders>
              <w:top w:val="single" w:sz="4" w:space="0" w:color="000000"/>
              <w:left w:val="single" w:sz="4" w:space="0" w:color="000000"/>
              <w:bottom w:val="single" w:sz="4" w:space="0" w:color="000000"/>
              <w:right w:val="single" w:sz="4" w:space="0" w:color="000000"/>
            </w:tcBorders>
          </w:tcPr>
          <w:p w14:paraId="2CB4EFDE" w14:textId="77777777" w:rsidR="002C26E2" w:rsidRDefault="00812CB4">
            <w:pPr>
              <w:spacing w:after="0" w:line="259" w:lineRule="auto"/>
              <w:ind w:left="0" w:right="58" w:firstLine="0"/>
              <w:jc w:val="right"/>
            </w:pPr>
            <w:r>
              <w:rPr>
                <w:sz w:val="22"/>
              </w:rPr>
              <w:t xml:space="preserve">£19,583 </w:t>
            </w:r>
          </w:p>
        </w:tc>
      </w:tr>
      <w:tr w:rsidR="002C26E2" w14:paraId="58C727FB" w14:textId="77777777">
        <w:trPr>
          <w:trHeight w:val="550"/>
        </w:trPr>
        <w:tc>
          <w:tcPr>
            <w:tcW w:w="5675" w:type="dxa"/>
            <w:tcBorders>
              <w:top w:val="single" w:sz="4" w:space="0" w:color="000000"/>
              <w:left w:val="single" w:sz="4" w:space="0" w:color="000000"/>
              <w:bottom w:val="single" w:sz="4" w:space="0" w:color="000000"/>
              <w:right w:val="single" w:sz="4" w:space="0" w:color="000000"/>
            </w:tcBorders>
          </w:tcPr>
          <w:p w14:paraId="51C8E63D" w14:textId="77777777" w:rsidR="002C26E2" w:rsidRDefault="00812CB4">
            <w:pPr>
              <w:spacing w:after="0" w:line="259" w:lineRule="auto"/>
              <w:ind w:left="0" w:firstLine="0"/>
            </w:pPr>
            <w:r>
              <w:rPr>
                <w:sz w:val="22"/>
              </w:rPr>
              <w:t xml:space="preserve">Exceptional Preparation (BL) - Reading </w:t>
            </w:r>
          </w:p>
        </w:tc>
        <w:tc>
          <w:tcPr>
            <w:tcW w:w="1901" w:type="dxa"/>
            <w:tcBorders>
              <w:top w:val="single" w:sz="4" w:space="0" w:color="000000"/>
              <w:left w:val="single" w:sz="4" w:space="0" w:color="000000"/>
              <w:bottom w:val="single" w:sz="4" w:space="0" w:color="000000"/>
              <w:right w:val="single" w:sz="4" w:space="0" w:color="000000"/>
            </w:tcBorders>
          </w:tcPr>
          <w:p w14:paraId="23358F4C" w14:textId="77777777" w:rsidR="002C26E2" w:rsidRDefault="00812CB4">
            <w:pPr>
              <w:spacing w:after="0" w:line="259" w:lineRule="auto"/>
              <w:ind w:left="0" w:right="59" w:firstLine="0"/>
              <w:jc w:val="right"/>
            </w:pPr>
            <w:r>
              <w:rPr>
                <w:sz w:val="22"/>
              </w:rPr>
              <w:t xml:space="preserve">£237,262 </w:t>
            </w:r>
          </w:p>
        </w:tc>
      </w:tr>
      <w:tr w:rsidR="002C26E2" w14:paraId="0E049EF0" w14:textId="77777777">
        <w:trPr>
          <w:trHeight w:val="550"/>
        </w:trPr>
        <w:tc>
          <w:tcPr>
            <w:tcW w:w="5675" w:type="dxa"/>
            <w:tcBorders>
              <w:top w:val="single" w:sz="4" w:space="0" w:color="000000"/>
              <w:left w:val="single" w:sz="4" w:space="0" w:color="000000"/>
              <w:bottom w:val="single" w:sz="4" w:space="0" w:color="000000"/>
              <w:right w:val="single" w:sz="4" w:space="0" w:color="000000"/>
            </w:tcBorders>
          </w:tcPr>
          <w:p w14:paraId="6B55AC10" w14:textId="77777777" w:rsidR="002C26E2" w:rsidRDefault="00812CB4">
            <w:pPr>
              <w:spacing w:after="0" w:line="259" w:lineRule="auto"/>
              <w:ind w:left="0" w:firstLine="0"/>
            </w:pPr>
            <w:r>
              <w:rPr>
                <w:b/>
                <w:sz w:val="22"/>
              </w:rPr>
              <w:t xml:space="preserve">Totals </w:t>
            </w:r>
          </w:p>
        </w:tc>
        <w:tc>
          <w:tcPr>
            <w:tcW w:w="1901" w:type="dxa"/>
            <w:tcBorders>
              <w:top w:val="single" w:sz="4" w:space="0" w:color="000000"/>
              <w:left w:val="single" w:sz="4" w:space="0" w:color="000000"/>
              <w:bottom w:val="single" w:sz="4" w:space="0" w:color="000000"/>
              <w:right w:val="single" w:sz="4" w:space="0" w:color="000000"/>
            </w:tcBorders>
          </w:tcPr>
          <w:p w14:paraId="50B6C085" w14:textId="77777777" w:rsidR="002C26E2" w:rsidRDefault="00812CB4">
            <w:pPr>
              <w:spacing w:after="0" w:line="259" w:lineRule="auto"/>
              <w:ind w:left="0" w:right="59" w:firstLine="0"/>
              <w:jc w:val="right"/>
            </w:pPr>
            <w:r>
              <w:rPr>
                <w:b/>
                <w:sz w:val="22"/>
              </w:rPr>
              <w:t xml:space="preserve">£627,999 </w:t>
            </w:r>
          </w:p>
        </w:tc>
      </w:tr>
    </w:tbl>
    <w:p w14:paraId="625210E3" w14:textId="77777777" w:rsidR="002C26E2" w:rsidRDefault="00812CB4" w:rsidP="00444ECE">
      <w:pPr>
        <w:spacing w:after="120" w:line="259" w:lineRule="auto"/>
        <w:ind w:left="12" w:firstLine="0"/>
      </w:pPr>
      <w:r>
        <w:t xml:space="preserve"> </w:t>
      </w:r>
    </w:p>
    <w:p w14:paraId="015EBB0C" w14:textId="77777777" w:rsidR="002C26E2" w:rsidRDefault="00812CB4">
      <w:pPr>
        <w:spacing w:after="6" w:line="259" w:lineRule="auto"/>
        <w:ind w:left="7" w:right="225"/>
      </w:pPr>
      <w:r>
        <w:t xml:space="preserve">For </w:t>
      </w:r>
      <w:r>
        <w:rPr>
          <w:b/>
        </w:rPr>
        <w:t>2025</w:t>
      </w:r>
      <w:r>
        <w:t xml:space="preserve">, EP costs attributable to reading in the Crown Court amounted to: </w:t>
      </w:r>
    </w:p>
    <w:tbl>
      <w:tblPr>
        <w:tblStyle w:val="TableGrid"/>
        <w:tblW w:w="7595" w:type="dxa"/>
        <w:tblInd w:w="13" w:type="dxa"/>
        <w:tblCellMar>
          <w:top w:w="52" w:type="dxa"/>
          <w:left w:w="107" w:type="dxa"/>
          <w:bottom w:w="0" w:type="dxa"/>
          <w:right w:w="45" w:type="dxa"/>
        </w:tblCellMar>
        <w:tblLook w:val="04A0" w:firstRow="1" w:lastRow="0" w:firstColumn="1" w:lastColumn="0" w:noHBand="0" w:noVBand="1"/>
      </w:tblPr>
      <w:tblGrid>
        <w:gridCol w:w="5676"/>
        <w:gridCol w:w="1919"/>
      </w:tblGrid>
      <w:tr w:rsidR="002C26E2" w14:paraId="582AE118" w14:textId="77777777">
        <w:trPr>
          <w:trHeight w:val="547"/>
        </w:trPr>
        <w:tc>
          <w:tcPr>
            <w:tcW w:w="5676" w:type="dxa"/>
            <w:tcBorders>
              <w:top w:val="single" w:sz="4" w:space="0" w:color="000000"/>
              <w:left w:val="single" w:sz="4" w:space="0" w:color="000000"/>
              <w:bottom w:val="single" w:sz="4" w:space="0" w:color="000000"/>
              <w:right w:val="single" w:sz="4" w:space="0" w:color="000000"/>
            </w:tcBorders>
            <w:shd w:val="clear" w:color="auto" w:fill="424996"/>
          </w:tcPr>
          <w:p w14:paraId="2A3A6206" w14:textId="77777777" w:rsidR="002C26E2" w:rsidRDefault="00812CB4">
            <w:pPr>
              <w:spacing w:after="0" w:line="259" w:lineRule="auto"/>
              <w:ind w:left="0" w:firstLine="0"/>
            </w:pPr>
            <w:r>
              <w:rPr>
                <w:b/>
                <w:color w:val="FFFFFF"/>
                <w:sz w:val="22"/>
              </w:rPr>
              <w:t xml:space="preserve">Crown Court - Level of Representative </w:t>
            </w:r>
          </w:p>
        </w:tc>
        <w:tc>
          <w:tcPr>
            <w:tcW w:w="1919" w:type="dxa"/>
            <w:tcBorders>
              <w:top w:val="single" w:sz="4" w:space="0" w:color="000000"/>
              <w:left w:val="single" w:sz="4" w:space="0" w:color="000000"/>
              <w:bottom w:val="single" w:sz="4" w:space="0" w:color="000000"/>
              <w:right w:val="single" w:sz="4" w:space="0" w:color="000000"/>
            </w:tcBorders>
            <w:shd w:val="clear" w:color="auto" w:fill="424996"/>
          </w:tcPr>
          <w:p w14:paraId="1CCF4F88" w14:textId="77777777" w:rsidR="002C26E2" w:rsidRDefault="00812CB4">
            <w:pPr>
              <w:spacing w:after="0" w:line="259" w:lineRule="auto"/>
              <w:ind w:left="1" w:firstLine="0"/>
            </w:pPr>
            <w:r>
              <w:rPr>
                <w:b/>
                <w:color w:val="FFFFFF"/>
                <w:sz w:val="22"/>
              </w:rPr>
              <w:t xml:space="preserve">Total Cost 2025 </w:t>
            </w:r>
          </w:p>
        </w:tc>
      </w:tr>
      <w:tr w:rsidR="002C26E2" w14:paraId="68428F2E" w14:textId="77777777">
        <w:trPr>
          <w:trHeight w:val="551"/>
        </w:trPr>
        <w:tc>
          <w:tcPr>
            <w:tcW w:w="5676" w:type="dxa"/>
            <w:tcBorders>
              <w:top w:val="single" w:sz="4" w:space="0" w:color="000000"/>
              <w:left w:val="single" w:sz="4" w:space="0" w:color="000000"/>
              <w:bottom w:val="single" w:sz="4" w:space="0" w:color="000000"/>
              <w:right w:val="single" w:sz="4" w:space="0" w:color="000000"/>
            </w:tcBorders>
          </w:tcPr>
          <w:p w14:paraId="000A3F42" w14:textId="77777777" w:rsidR="002C26E2" w:rsidRDefault="00812CB4">
            <w:pPr>
              <w:spacing w:after="0" w:line="259" w:lineRule="auto"/>
              <w:ind w:left="0" w:firstLine="0"/>
            </w:pPr>
            <w:r>
              <w:rPr>
                <w:sz w:val="22"/>
              </w:rPr>
              <w:t xml:space="preserve">Exceptional Preparation (Apprentice) - Reading </w:t>
            </w:r>
          </w:p>
        </w:tc>
        <w:tc>
          <w:tcPr>
            <w:tcW w:w="1919" w:type="dxa"/>
            <w:tcBorders>
              <w:top w:val="single" w:sz="4" w:space="0" w:color="000000"/>
              <w:left w:val="single" w:sz="4" w:space="0" w:color="000000"/>
              <w:bottom w:val="single" w:sz="4" w:space="0" w:color="000000"/>
              <w:right w:val="single" w:sz="4" w:space="0" w:color="000000"/>
            </w:tcBorders>
          </w:tcPr>
          <w:p w14:paraId="24298791" w14:textId="77777777" w:rsidR="002C26E2" w:rsidRDefault="00812CB4">
            <w:pPr>
              <w:spacing w:after="0" w:line="259" w:lineRule="auto"/>
              <w:ind w:left="0" w:right="61" w:firstLine="0"/>
              <w:jc w:val="right"/>
            </w:pPr>
            <w:r>
              <w:rPr>
                <w:sz w:val="22"/>
              </w:rPr>
              <w:t xml:space="preserve">£848 </w:t>
            </w:r>
          </w:p>
        </w:tc>
      </w:tr>
      <w:tr w:rsidR="002C26E2" w14:paraId="2CF87514" w14:textId="77777777">
        <w:trPr>
          <w:trHeight w:val="550"/>
        </w:trPr>
        <w:tc>
          <w:tcPr>
            <w:tcW w:w="5676" w:type="dxa"/>
            <w:tcBorders>
              <w:top w:val="single" w:sz="4" w:space="0" w:color="000000"/>
              <w:left w:val="single" w:sz="4" w:space="0" w:color="000000"/>
              <w:bottom w:val="single" w:sz="4" w:space="0" w:color="000000"/>
              <w:right w:val="single" w:sz="4" w:space="0" w:color="000000"/>
            </w:tcBorders>
          </w:tcPr>
          <w:p w14:paraId="5C7BC674" w14:textId="77777777" w:rsidR="002C26E2" w:rsidRDefault="00812CB4">
            <w:pPr>
              <w:spacing w:after="0" w:line="259" w:lineRule="auto"/>
              <w:ind w:left="0" w:firstLine="0"/>
            </w:pPr>
            <w:r>
              <w:rPr>
                <w:sz w:val="22"/>
              </w:rPr>
              <w:t xml:space="preserve">Exceptional Preparation (Senior Solicitor) - Reading </w:t>
            </w:r>
          </w:p>
        </w:tc>
        <w:tc>
          <w:tcPr>
            <w:tcW w:w="1919" w:type="dxa"/>
            <w:tcBorders>
              <w:top w:val="single" w:sz="4" w:space="0" w:color="000000"/>
              <w:left w:val="single" w:sz="4" w:space="0" w:color="000000"/>
              <w:bottom w:val="single" w:sz="4" w:space="0" w:color="000000"/>
              <w:right w:val="single" w:sz="4" w:space="0" w:color="000000"/>
            </w:tcBorders>
          </w:tcPr>
          <w:p w14:paraId="13793BD1" w14:textId="77777777" w:rsidR="002C26E2" w:rsidRDefault="00812CB4">
            <w:pPr>
              <w:spacing w:after="0" w:line="259" w:lineRule="auto"/>
              <w:ind w:left="0" w:right="59" w:firstLine="0"/>
              <w:jc w:val="right"/>
            </w:pPr>
            <w:r>
              <w:rPr>
                <w:sz w:val="22"/>
              </w:rPr>
              <w:t xml:space="preserve">£2,019,999 </w:t>
            </w:r>
          </w:p>
        </w:tc>
      </w:tr>
      <w:tr w:rsidR="002C26E2" w14:paraId="348BCB70" w14:textId="77777777">
        <w:trPr>
          <w:trHeight w:val="550"/>
        </w:trPr>
        <w:tc>
          <w:tcPr>
            <w:tcW w:w="5676" w:type="dxa"/>
            <w:tcBorders>
              <w:top w:val="single" w:sz="4" w:space="0" w:color="000000"/>
              <w:left w:val="single" w:sz="4" w:space="0" w:color="000000"/>
              <w:bottom w:val="single" w:sz="4" w:space="0" w:color="000000"/>
              <w:right w:val="single" w:sz="4" w:space="0" w:color="000000"/>
            </w:tcBorders>
          </w:tcPr>
          <w:p w14:paraId="52B043ED" w14:textId="77777777" w:rsidR="002C26E2" w:rsidRDefault="00812CB4">
            <w:pPr>
              <w:spacing w:after="0" w:line="259" w:lineRule="auto"/>
              <w:ind w:left="0" w:firstLine="0"/>
            </w:pPr>
            <w:r>
              <w:rPr>
                <w:sz w:val="22"/>
              </w:rPr>
              <w:t xml:space="preserve">Exceptional Preparation (Solicitor) - Reading </w:t>
            </w:r>
          </w:p>
        </w:tc>
        <w:tc>
          <w:tcPr>
            <w:tcW w:w="1919" w:type="dxa"/>
            <w:tcBorders>
              <w:top w:val="single" w:sz="4" w:space="0" w:color="000000"/>
              <w:left w:val="single" w:sz="4" w:space="0" w:color="000000"/>
              <w:bottom w:val="single" w:sz="4" w:space="0" w:color="000000"/>
              <w:right w:val="single" w:sz="4" w:space="0" w:color="000000"/>
            </w:tcBorders>
          </w:tcPr>
          <w:p w14:paraId="4F2AB5C3" w14:textId="77777777" w:rsidR="002C26E2" w:rsidRDefault="00812CB4">
            <w:pPr>
              <w:spacing w:after="0" w:line="259" w:lineRule="auto"/>
              <w:ind w:left="0" w:right="59" w:firstLine="0"/>
              <w:jc w:val="right"/>
            </w:pPr>
            <w:r>
              <w:rPr>
                <w:sz w:val="22"/>
              </w:rPr>
              <w:t xml:space="preserve">£383,193 </w:t>
            </w:r>
          </w:p>
        </w:tc>
      </w:tr>
      <w:tr w:rsidR="002C26E2" w14:paraId="4FE7D7C5" w14:textId="77777777">
        <w:trPr>
          <w:trHeight w:val="550"/>
        </w:trPr>
        <w:tc>
          <w:tcPr>
            <w:tcW w:w="5676" w:type="dxa"/>
            <w:tcBorders>
              <w:top w:val="single" w:sz="4" w:space="0" w:color="000000"/>
              <w:left w:val="single" w:sz="4" w:space="0" w:color="000000"/>
              <w:bottom w:val="single" w:sz="4" w:space="0" w:color="000000"/>
              <w:right w:val="single" w:sz="4" w:space="0" w:color="000000"/>
            </w:tcBorders>
          </w:tcPr>
          <w:p w14:paraId="72085A1B" w14:textId="77777777" w:rsidR="002C26E2" w:rsidRDefault="00812CB4">
            <w:pPr>
              <w:spacing w:after="0" w:line="259" w:lineRule="auto"/>
              <w:ind w:left="0" w:firstLine="0"/>
            </w:pPr>
            <w:r>
              <w:rPr>
                <w:sz w:val="22"/>
              </w:rPr>
              <w:t xml:space="preserve">Exceptional Preparation (BL) - Reading** </w:t>
            </w:r>
          </w:p>
        </w:tc>
        <w:tc>
          <w:tcPr>
            <w:tcW w:w="1919" w:type="dxa"/>
            <w:tcBorders>
              <w:top w:val="single" w:sz="4" w:space="0" w:color="000000"/>
              <w:left w:val="single" w:sz="4" w:space="0" w:color="000000"/>
              <w:bottom w:val="single" w:sz="4" w:space="0" w:color="000000"/>
              <w:right w:val="single" w:sz="4" w:space="0" w:color="000000"/>
            </w:tcBorders>
          </w:tcPr>
          <w:p w14:paraId="4575B685" w14:textId="77777777" w:rsidR="002C26E2" w:rsidRDefault="00812CB4">
            <w:pPr>
              <w:spacing w:after="0" w:line="259" w:lineRule="auto"/>
              <w:ind w:left="0" w:right="59" w:firstLine="0"/>
              <w:jc w:val="right"/>
            </w:pPr>
            <w:r>
              <w:rPr>
                <w:sz w:val="22"/>
              </w:rPr>
              <w:t xml:space="preserve">£1,019,830 </w:t>
            </w:r>
          </w:p>
        </w:tc>
      </w:tr>
      <w:tr w:rsidR="002C26E2" w14:paraId="2B3FD374" w14:textId="77777777">
        <w:trPr>
          <w:trHeight w:val="550"/>
        </w:trPr>
        <w:tc>
          <w:tcPr>
            <w:tcW w:w="5676" w:type="dxa"/>
            <w:tcBorders>
              <w:top w:val="single" w:sz="4" w:space="0" w:color="000000"/>
              <w:left w:val="single" w:sz="4" w:space="0" w:color="000000"/>
              <w:bottom w:val="single" w:sz="4" w:space="0" w:color="000000"/>
              <w:right w:val="single" w:sz="4" w:space="0" w:color="000000"/>
            </w:tcBorders>
          </w:tcPr>
          <w:p w14:paraId="0C4D770A" w14:textId="77777777" w:rsidR="002C26E2" w:rsidRDefault="00812CB4">
            <w:pPr>
              <w:spacing w:after="0" w:line="259" w:lineRule="auto"/>
              <w:ind w:left="0" w:firstLine="0"/>
            </w:pPr>
            <w:r>
              <w:rPr>
                <w:sz w:val="22"/>
              </w:rPr>
              <w:t xml:space="preserve">Exceptional Preparation (KC) - Reading </w:t>
            </w:r>
          </w:p>
        </w:tc>
        <w:tc>
          <w:tcPr>
            <w:tcW w:w="1919" w:type="dxa"/>
            <w:tcBorders>
              <w:top w:val="single" w:sz="4" w:space="0" w:color="000000"/>
              <w:left w:val="single" w:sz="4" w:space="0" w:color="000000"/>
              <w:bottom w:val="single" w:sz="4" w:space="0" w:color="000000"/>
              <w:right w:val="single" w:sz="4" w:space="0" w:color="000000"/>
            </w:tcBorders>
          </w:tcPr>
          <w:p w14:paraId="12DC5F47" w14:textId="77777777" w:rsidR="002C26E2" w:rsidRDefault="00812CB4">
            <w:pPr>
              <w:spacing w:after="0" w:line="259" w:lineRule="auto"/>
              <w:ind w:left="0" w:right="59" w:firstLine="0"/>
              <w:jc w:val="right"/>
            </w:pPr>
            <w:r>
              <w:rPr>
                <w:sz w:val="22"/>
              </w:rPr>
              <w:t xml:space="preserve">£1,430,212 </w:t>
            </w:r>
          </w:p>
        </w:tc>
      </w:tr>
      <w:tr w:rsidR="002C26E2" w14:paraId="07B0E480" w14:textId="77777777">
        <w:trPr>
          <w:trHeight w:val="550"/>
        </w:trPr>
        <w:tc>
          <w:tcPr>
            <w:tcW w:w="5676" w:type="dxa"/>
            <w:tcBorders>
              <w:top w:val="single" w:sz="4" w:space="0" w:color="000000"/>
              <w:left w:val="single" w:sz="4" w:space="0" w:color="000000"/>
              <w:bottom w:val="single" w:sz="4" w:space="0" w:color="000000"/>
              <w:right w:val="single" w:sz="4" w:space="0" w:color="000000"/>
            </w:tcBorders>
          </w:tcPr>
          <w:p w14:paraId="4A9FC682" w14:textId="77777777" w:rsidR="002C26E2" w:rsidRDefault="00812CB4">
            <w:pPr>
              <w:spacing w:after="0" w:line="259" w:lineRule="auto"/>
              <w:ind w:left="0" w:firstLine="0"/>
            </w:pPr>
            <w:r>
              <w:rPr>
                <w:b/>
                <w:sz w:val="22"/>
              </w:rPr>
              <w:t xml:space="preserve">Totals </w:t>
            </w:r>
          </w:p>
        </w:tc>
        <w:tc>
          <w:tcPr>
            <w:tcW w:w="1919" w:type="dxa"/>
            <w:tcBorders>
              <w:top w:val="single" w:sz="4" w:space="0" w:color="000000"/>
              <w:left w:val="single" w:sz="4" w:space="0" w:color="000000"/>
              <w:bottom w:val="single" w:sz="4" w:space="0" w:color="000000"/>
              <w:right w:val="single" w:sz="4" w:space="0" w:color="000000"/>
            </w:tcBorders>
          </w:tcPr>
          <w:p w14:paraId="6E8F39FF" w14:textId="77777777" w:rsidR="002C26E2" w:rsidRDefault="00812CB4">
            <w:pPr>
              <w:spacing w:after="0" w:line="259" w:lineRule="auto"/>
              <w:ind w:left="0" w:right="59" w:firstLine="0"/>
              <w:jc w:val="right"/>
            </w:pPr>
            <w:r>
              <w:rPr>
                <w:b/>
                <w:sz w:val="22"/>
              </w:rPr>
              <w:t xml:space="preserve">£4,854,082 </w:t>
            </w:r>
          </w:p>
        </w:tc>
      </w:tr>
    </w:tbl>
    <w:p w14:paraId="283AB587" w14:textId="77777777" w:rsidR="002C26E2" w:rsidRDefault="00812CB4">
      <w:pPr>
        <w:spacing w:after="397" w:line="259" w:lineRule="auto"/>
        <w:ind w:left="7" w:right="225"/>
      </w:pPr>
      <w:r>
        <w:t xml:space="preserve">The totals for EP costs in </w:t>
      </w:r>
      <w:r>
        <w:rPr>
          <w:b/>
        </w:rPr>
        <w:t>2025</w:t>
      </w:r>
      <w:r>
        <w:t xml:space="preserve"> that are attributable to reading amounted to: </w:t>
      </w:r>
    </w:p>
    <w:p w14:paraId="6F52CA44" w14:textId="77777777" w:rsidR="002C26E2" w:rsidRDefault="00812CB4">
      <w:pPr>
        <w:numPr>
          <w:ilvl w:val="0"/>
          <w:numId w:val="33"/>
        </w:numPr>
        <w:spacing w:after="116" w:line="259" w:lineRule="auto"/>
        <w:ind w:right="225" w:hanging="360"/>
      </w:pPr>
      <w:r>
        <w:rPr>
          <w:b/>
        </w:rPr>
        <w:t>£627,999</w:t>
      </w:r>
      <w:r>
        <w:t xml:space="preserve"> </w:t>
      </w:r>
      <w:r>
        <w:t>in the Magistrates’ Court</w:t>
      </w:r>
      <w:r>
        <w:t xml:space="preserve"> </w:t>
      </w:r>
    </w:p>
    <w:p w14:paraId="562684D1" w14:textId="77777777" w:rsidR="002C26E2" w:rsidRDefault="00812CB4">
      <w:pPr>
        <w:numPr>
          <w:ilvl w:val="0"/>
          <w:numId w:val="33"/>
        </w:numPr>
        <w:spacing w:after="396" w:line="259" w:lineRule="auto"/>
        <w:ind w:right="225" w:hanging="360"/>
      </w:pPr>
      <w:r>
        <w:rPr>
          <w:b/>
        </w:rPr>
        <w:t>£4,854,082</w:t>
      </w:r>
      <w:r>
        <w:t xml:space="preserve"> in the Crown Court </w:t>
      </w:r>
    </w:p>
    <w:p w14:paraId="1EC23858" w14:textId="77777777" w:rsidR="002C26E2" w:rsidRDefault="00812CB4">
      <w:pPr>
        <w:spacing w:after="399" w:line="259" w:lineRule="auto"/>
        <w:ind w:left="7" w:right="225"/>
      </w:pPr>
      <w:r>
        <w:t xml:space="preserve">These figures represent approximately: </w:t>
      </w:r>
    </w:p>
    <w:p w14:paraId="1BF84975" w14:textId="77777777" w:rsidR="002C26E2" w:rsidRDefault="00812CB4">
      <w:pPr>
        <w:numPr>
          <w:ilvl w:val="0"/>
          <w:numId w:val="33"/>
        </w:numPr>
        <w:spacing w:after="116" w:line="259" w:lineRule="auto"/>
        <w:ind w:right="225" w:hanging="360"/>
      </w:pPr>
      <w:r>
        <w:rPr>
          <w:b/>
        </w:rPr>
        <w:t>58.8%</w:t>
      </w:r>
      <w:r>
        <w:t xml:space="preserve"> </w:t>
      </w:r>
      <w:r>
        <w:t>of total Magistrates’ Court EP costs</w:t>
      </w:r>
      <w:r>
        <w:t xml:space="preserve"> </w:t>
      </w:r>
    </w:p>
    <w:p w14:paraId="1F26DDE7" w14:textId="77777777" w:rsidR="002C26E2" w:rsidRDefault="00812CB4">
      <w:pPr>
        <w:numPr>
          <w:ilvl w:val="0"/>
          <w:numId w:val="33"/>
        </w:numPr>
        <w:spacing w:after="396" w:line="259" w:lineRule="auto"/>
        <w:ind w:right="225" w:hanging="360"/>
      </w:pPr>
      <w:r>
        <w:rPr>
          <w:b/>
        </w:rPr>
        <w:t>57.3%</w:t>
      </w:r>
      <w:r>
        <w:t xml:space="preserve"> of total Crown Court EP costs </w:t>
      </w:r>
    </w:p>
    <w:p w14:paraId="311BBCF0" w14:textId="77777777" w:rsidR="002C26E2" w:rsidRDefault="00812CB4">
      <w:pPr>
        <w:spacing w:after="272"/>
        <w:ind w:left="7" w:right="225"/>
      </w:pPr>
      <w:r>
        <w:t xml:space="preserve">This analysis demonstrates that reading-related work would appear to be the dominant driver of EP expenditure. However, we are also led to believe that work relating to reading of disclosure is also included in these figures.  </w:t>
      </w:r>
    </w:p>
    <w:p w14:paraId="102C0ABF" w14:textId="77777777" w:rsidR="002C26E2" w:rsidRDefault="00812CB4">
      <w:pPr>
        <w:spacing w:after="272"/>
        <w:ind w:left="7" w:right="225"/>
      </w:pPr>
      <w:r>
        <w:t xml:space="preserve">The Review Team concludes that EP is increasingly being used to remunerate </w:t>
      </w:r>
      <w:r>
        <w:rPr>
          <w:b/>
        </w:rPr>
        <w:t xml:space="preserve">routine reading work </w:t>
      </w:r>
      <w:r>
        <w:t>and</w:t>
      </w:r>
      <w:r>
        <w:rPr>
          <w:b/>
        </w:rPr>
        <w:t xml:space="preserve"> disclosure</w:t>
      </w:r>
      <w:r>
        <w:t xml:space="preserve">, rather than genuinely exceptional activity. This appears to arise from the </w:t>
      </w:r>
      <w:r>
        <w:rPr>
          <w:b/>
        </w:rPr>
        <w:t xml:space="preserve">low per-page rate for PPE </w:t>
      </w:r>
      <w:proofErr w:type="gramStart"/>
      <w:r>
        <w:t>in excess of</w:t>
      </w:r>
      <w:proofErr w:type="gramEnd"/>
      <w:r>
        <w:t xml:space="preserve"> 3,000 pages, which incentivises practitioners to seek remuneration through EP </w:t>
      </w:r>
      <w:proofErr w:type="gramStart"/>
      <w:r>
        <w:t>in order to</w:t>
      </w:r>
      <w:proofErr w:type="gramEnd"/>
      <w:r>
        <w:t xml:space="preserve"> recover a realistic cost for reading large volumes of material. </w:t>
      </w:r>
    </w:p>
    <w:p w14:paraId="04A506C6" w14:textId="77777777" w:rsidR="002C26E2" w:rsidRDefault="00812CB4">
      <w:pPr>
        <w:spacing w:after="398" w:line="259" w:lineRule="auto"/>
        <w:ind w:left="7" w:right="225"/>
      </w:pPr>
      <w:r>
        <w:t xml:space="preserve">EP is therefore being used as a </w:t>
      </w:r>
      <w:r>
        <w:rPr>
          <w:b/>
        </w:rPr>
        <w:t>proxy mechanism</w:t>
      </w:r>
      <w:r>
        <w:t xml:space="preserve">, rather than as an exception. </w:t>
      </w:r>
    </w:p>
    <w:p w14:paraId="4A01950C" w14:textId="77777777" w:rsidR="002C26E2" w:rsidRDefault="00812CB4">
      <w:pPr>
        <w:spacing w:after="349" w:line="265" w:lineRule="auto"/>
        <w:ind w:left="7"/>
      </w:pPr>
      <w:r>
        <w:rPr>
          <w:u w:val="single" w:color="000000"/>
        </w:rPr>
        <w:t>Impact of Direct Committal</w:t>
      </w:r>
      <w:r>
        <w:t xml:space="preserve"> </w:t>
      </w:r>
    </w:p>
    <w:p w14:paraId="39BFD343" w14:textId="77777777" w:rsidR="002C26E2" w:rsidRDefault="00812CB4">
      <w:pPr>
        <w:spacing w:after="240" w:line="360" w:lineRule="auto"/>
        <w:ind w:left="7" w:right="224"/>
        <w:jc w:val="both"/>
      </w:pPr>
      <w:r>
        <w:t>The planned introduction of Direct Committal in November 2026 will fundamentally change how cases progress through the M</w:t>
      </w:r>
      <w:r>
        <w:t xml:space="preserve">agistrates’ court to the Crown Court, </w:t>
      </w:r>
      <w:r>
        <w:t xml:space="preserve">including the use of EP.  With that in mind, we believe that for the purpose of the accelerated review, focus should be confined to EP in the Crown Court. For the purposes of this Accelerated Review, analysis is therefore confined to </w:t>
      </w:r>
      <w:r>
        <w:rPr>
          <w:b/>
        </w:rPr>
        <w:t>Crown Court EP</w:t>
      </w:r>
      <w:r>
        <w:t xml:space="preserve">, where the financial and structural risks are most acute. </w:t>
      </w:r>
    </w:p>
    <w:p w14:paraId="0F188C62" w14:textId="77777777" w:rsidR="002C26E2" w:rsidRDefault="00812CB4">
      <w:pPr>
        <w:spacing w:after="349" w:line="265" w:lineRule="auto"/>
        <w:ind w:left="7"/>
      </w:pPr>
      <w:r>
        <w:rPr>
          <w:u w:val="single" w:color="000000"/>
        </w:rPr>
        <w:t>PPE costs outside EP</w:t>
      </w:r>
      <w:r>
        <w:t xml:space="preserve"> </w:t>
      </w:r>
    </w:p>
    <w:p w14:paraId="3BCE3350" w14:textId="77777777" w:rsidR="002C26E2" w:rsidRDefault="00812CB4">
      <w:pPr>
        <w:spacing w:after="240" w:line="360" w:lineRule="auto"/>
        <w:ind w:left="7" w:right="224"/>
        <w:jc w:val="both"/>
      </w:pPr>
      <w:r>
        <w:t xml:space="preserve">When we look at the costs in 2025 for PPE additional pages (at £1.00 per page) the costs were </w:t>
      </w:r>
      <w:r>
        <w:t xml:space="preserve">£751,992 for Solicitors, £135,485 for KC’s and £541,139 for Barristers, </w:t>
      </w:r>
      <w:r>
        <w:t xml:space="preserve">which gives a grand total of £1,428,976. </w:t>
      </w:r>
    </w:p>
    <w:p w14:paraId="7093683D" w14:textId="77777777" w:rsidR="002C26E2" w:rsidRDefault="00812CB4">
      <w:pPr>
        <w:spacing w:after="240" w:line="360" w:lineRule="auto"/>
        <w:ind w:left="7" w:right="224"/>
        <w:jc w:val="both"/>
      </w:pPr>
      <w:r>
        <w:t xml:space="preserve">We understand that the use of EP for reading has arisen largely due to the perceived low amount that is paid for reading evidence that is more than 3,000 pages long. In such a case, the rate currently paid for reading is £1.16 per page for every page over </w:t>
      </w:r>
      <w:proofErr w:type="gramStart"/>
      <w:r>
        <w:t>this 3,000 figure</w:t>
      </w:r>
      <w:proofErr w:type="gramEnd"/>
      <w:r>
        <w:t xml:space="preserve">.  </w:t>
      </w:r>
    </w:p>
    <w:p w14:paraId="6212E6BE" w14:textId="77777777" w:rsidR="002C26E2" w:rsidRDefault="00812CB4">
      <w:pPr>
        <w:spacing w:after="240" w:line="360" w:lineRule="auto"/>
        <w:ind w:left="7" w:right="224"/>
        <w:jc w:val="both"/>
      </w:pPr>
      <w:r>
        <w:t xml:space="preserve">Estimates from LSA suggest that the average number of pages that can be read in an hour is somewhere around 30. While we recognize that some pages will be very simple to read, maybe containing a brief text or WhatsApp message, others will involve significant detail. As such, we consider that the estimated average number of pages is reasonable, and we believe that 30 pages per hour should be used in our analysis below. </w:t>
      </w:r>
    </w:p>
    <w:p w14:paraId="0A2AE729" w14:textId="77777777" w:rsidR="002C26E2" w:rsidRDefault="00812CB4">
      <w:pPr>
        <w:spacing w:after="456" w:line="360" w:lineRule="auto"/>
        <w:ind w:left="7" w:right="224"/>
        <w:jc w:val="both"/>
      </w:pPr>
      <w:r>
        <w:t xml:space="preserve">However, at the current payment rates, that would mean for reading evidence pages beyond 3,000 pages, the hourly rate would be £30 (before the recent increase of 16% is applied). We believe that this is the reason that a significant proportion of EP costs are related to reading, albeit there are still further costs of £1.43m directly related to PPE reading, as noted above. </w:t>
      </w:r>
    </w:p>
    <w:p w14:paraId="2AF2C518" w14:textId="77777777" w:rsidR="002C26E2" w:rsidRDefault="00812CB4">
      <w:pPr>
        <w:pStyle w:val="Heading2"/>
        <w:spacing w:after="312"/>
        <w:ind w:left="849" w:right="200" w:hanging="852"/>
      </w:pPr>
      <w:bookmarkStart w:id="43" w:name="_Toc107581"/>
      <w:r>
        <w:rPr>
          <w:color w:val="004E9A"/>
          <w:sz w:val="28"/>
        </w:rPr>
        <w:t>A</w:t>
      </w:r>
      <w:r>
        <w:rPr>
          <w:color w:val="004E9A"/>
        </w:rPr>
        <w:t xml:space="preserve">LTERNATIVE APPROACH TO </w:t>
      </w:r>
      <w:r>
        <w:rPr>
          <w:color w:val="004E9A"/>
          <w:sz w:val="28"/>
        </w:rPr>
        <w:t>PPE</w:t>
      </w:r>
      <w:r>
        <w:rPr>
          <w:color w:val="004E9A"/>
        </w:rPr>
        <w:t xml:space="preserve"> AND READING</w:t>
      </w:r>
      <w:r>
        <w:rPr>
          <w:color w:val="004E9A"/>
          <w:sz w:val="28"/>
        </w:rPr>
        <w:t xml:space="preserve"> </w:t>
      </w:r>
      <w:bookmarkEnd w:id="43"/>
    </w:p>
    <w:p w14:paraId="3E800236" w14:textId="77777777" w:rsidR="002C26E2" w:rsidRDefault="00812CB4">
      <w:pPr>
        <w:spacing w:after="349" w:line="265" w:lineRule="auto"/>
        <w:ind w:left="7"/>
      </w:pPr>
      <w:r>
        <w:rPr>
          <w:u w:val="single" w:color="000000"/>
        </w:rPr>
        <w:t>Page based remuneration model</w:t>
      </w:r>
      <w:r>
        <w:t xml:space="preserve"> </w:t>
      </w:r>
    </w:p>
    <w:p w14:paraId="4FE198F3" w14:textId="77777777" w:rsidR="002C26E2" w:rsidRDefault="00812CB4">
      <w:pPr>
        <w:spacing w:after="11"/>
        <w:ind w:left="7" w:right="225"/>
      </w:pPr>
      <w:r>
        <w:t xml:space="preserve">Using data on historical EP reading costs, the Review Team considered </w:t>
      </w:r>
      <w:r>
        <w:t xml:space="preserve">an alternative remuneration approach based on: </w:t>
      </w:r>
    </w:p>
    <w:p w14:paraId="1CB5791F" w14:textId="77777777" w:rsidR="002C26E2" w:rsidRDefault="00812CB4">
      <w:pPr>
        <w:numPr>
          <w:ilvl w:val="0"/>
          <w:numId w:val="34"/>
        </w:numPr>
        <w:spacing w:after="11"/>
        <w:ind w:right="225" w:hanging="360"/>
      </w:pPr>
      <w:r>
        <w:t xml:space="preserve">an assumed average reading speed of </w:t>
      </w:r>
      <w:r>
        <w:rPr>
          <w:b/>
        </w:rPr>
        <w:t>30 pages per hour</w:t>
      </w:r>
      <w:r>
        <w:t xml:space="preserve"> (based on LSA estimates), </w:t>
      </w:r>
    </w:p>
    <w:p w14:paraId="78F461BD" w14:textId="77777777" w:rsidR="002C26E2" w:rsidRDefault="00812CB4">
      <w:pPr>
        <w:numPr>
          <w:ilvl w:val="0"/>
          <w:numId w:val="34"/>
        </w:numPr>
        <w:spacing w:line="259" w:lineRule="auto"/>
        <w:ind w:right="225" w:hanging="360"/>
      </w:pPr>
      <w:r>
        <w:t xml:space="preserve">application of revised per-page rates intended to reflect realistic time input. </w:t>
      </w:r>
    </w:p>
    <w:p w14:paraId="52569ACD" w14:textId="77777777" w:rsidR="002C26E2" w:rsidRDefault="00812CB4">
      <w:pPr>
        <w:spacing w:after="169"/>
        <w:ind w:left="7" w:right="225"/>
      </w:pPr>
      <w:r>
        <w:t xml:space="preserve">The modelling shows that increasing the per-page rate for PPE reading to </w:t>
      </w:r>
      <w:r>
        <w:rPr>
          <w:b/>
        </w:rPr>
        <w:t>£2.32 per page</w:t>
      </w:r>
      <w:r>
        <w:t xml:space="preserve"> (a 100% increase on the current rate) would: </w:t>
      </w:r>
    </w:p>
    <w:p w14:paraId="5F7D9026" w14:textId="77777777" w:rsidR="002C26E2" w:rsidRDefault="00812CB4">
      <w:pPr>
        <w:numPr>
          <w:ilvl w:val="0"/>
          <w:numId w:val="34"/>
        </w:numPr>
        <w:spacing w:after="87" w:line="259" w:lineRule="auto"/>
        <w:ind w:right="225" w:hanging="360"/>
      </w:pPr>
      <w:r>
        <w:t xml:space="preserve">replace EP claims for PPE </w:t>
      </w:r>
    </w:p>
    <w:p w14:paraId="6F0FEE4C" w14:textId="77777777" w:rsidR="002C26E2" w:rsidRDefault="00812CB4">
      <w:pPr>
        <w:numPr>
          <w:ilvl w:val="0"/>
          <w:numId w:val="34"/>
        </w:numPr>
        <w:spacing w:after="271" w:line="259" w:lineRule="auto"/>
        <w:ind w:right="225" w:hanging="360"/>
      </w:pPr>
      <w:r>
        <w:t xml:space="preserve">reflect a more realistic hourly equivalent of almost £70 per hour </w:t>
      </w:r>
    </w:p>
    <w:p w14:paraId="5135DA69" w14:textId="77777777" w:rsidR="002C26E2" w:rsidRDefault="00812CB4">
      <w:pPr>
        <w:spacing w:after="229" w:line="265" w:lineRule="auto"/>
        <w:ind w:left="7"/>
      </w:pPr>
      <w:r>
        <w:rPr>
          <w:u w:val="single" w:color="000000"/>
        </w:rPr>
        <w:t>Administrative benefits</w:t>
      </w:r>
      <w:r>
        <w:t xml:space="preserve"> </w:t>
      </w:r>
    </w:p>
    <w:p w14:paraId="1A08D147" w14:textId="77777777" w:rsidR="002C26E2" w:rsidRDefault="00812CB4">
      <w:pPr>
        <w:spacing w:line="259" w:lineRule="auto"/>
        <w:ind w:left="7" w:right="225"/>
      </w:pPr>
      <w:r>
        <w:t xml:space="preserve">Replacing EP for PPE reading with a direct per-page fee would: </w:t>
      </w:r>
    </w:p>
    <w:p w14:paraId="5F51502E" w14:textId="77777777" w:rsidR="002C26E2" w:rsidRDefault="00812CB4">
      <w:pPr>
        <w:numPr>
          <w:ilvl w:val="0"/>
          <w:numId w:val="34"/>
        </w:numPr>
        <w:spacing w:line="259" w:lineRule="auto"/>
        <w:ind w:right="225" w:hanging="360"/>
      </w:pPr>
      <w:r>
        <w:t xml:space="preserve">reduce the volume of EP applications, </w:t>
      </w:r>
    </w:p>
    <w:p w14:paraId="4D7DE82D" w14:textId="77777777" w:rsidR="002C26E2" w:rsidRDefault="00812CB4">
      <w:pPr>
        <w:numPr>
          <w:ilvl w:val="0"/>
          <w:numId w:val="34"/>
        </w:numPr>
        <w:spacing w:after="87" w:line="259" w:lineRule="auto"/>
        <w:ind w:right="225" w:hanging="360"/>
      </w:pPr>
      <w:r>
        <w:t xml:space="preserve">simplify assessment by the LSA, </w:t>
      </w:r>
    </w:p>
    <w:p w14:paraId="7240DCAA" w14:textId="77777777" w:rsidR="002C26E2" w:rsidRDefault="00812CB4">
      <w:pPr>
        <w:numPr>
          <w:ilvl w:val="0"/>
          <w:numId w:val="34"/>
        </w:numPr>
        <w:spacing w:after="87" w:line="259" w:lineRule="auto"/>
        <w:ind w:right="225" w:hanging="360"/>
      </w:pPr>
      <w:r>
        <w:t xml:space="preserve">reduce the administrative burden on practitioners, </w:t>
      </w:r>
    </w:p>
    <w:p w14:paraId="3D5E4930" w14:textId="77777777" w:rsidR="002C26E2" w:rsidRDefault="00812CB4">
      <w:pPr>
        <w:numPr>
          <w:ilvl w:val="0"/>
          <w:numId w:val="34"/>
        </w:numPr>
        <w:spacing w:after="87" w:line="259" w:lineRule="auto"/>
        <w:ind w:right="225" w:hanging="360"/>
      </w:pPr>
      <w:r>
        <w:t xml:space="preserve">improve predictability and transparency of costs, </w:t>
      </w:r>
    </w:p>
    <w:p w14:paraId="652A91C6" w14:textId="77777777" w:rsidR="002C26E2" w:rsidRDefault="00812CB4">
      <w:pPr>
        <w:numPr>
          <w:ilvl w:val="0"/>
          <w:numId w:val="34"/>
        </w:numPr>
        <w:spacing w:after="420"/>
        <w:ind w:right="225" w:hanging="360"/>
      </w:pPr>
      <w:r>
        <w:t xml:space="preserve">align remuneration more closely with actual work undertaken. </w:t>
      </w:r>
    </w:p>
    <w:p w14:paraId="2D2742E1" w14:textId="77777777" w:rsidR="002C26E2" w:rsidRDefault="00812CB4">
      <w:pPr>
        <w:pStyle w:val="Heading2"/>
        <w:ind w:left="849" w:right="200" w:hanging="852"/>
      </w:pPr>
      <w:bookmarkStart w:id="44" w:name="_Toc107582"/>
      <w:r>
        <w:rPr>
          <w:color w:val="004E9A"/>
          <w:sz w:val="28"/>
        </w:rPr>
        <w:t>C</w:t>
      </w:r>
      <w:r>
        <w:rPr>
          <w:color w:val="004E9A"/>
        </w:rPr>
        <w:t xml:space="preserve">ONCLUSIONS ON </w:t>
      </w:r>
      <w:r>
        <w:rPr>
          <w:color w:val="004E9A"/>
          <w:sz w:val="28"/>
        </w:rPr>
        <w:t>E</w:t>
      </w:r>
      <w:r>
        <w:rPr>
          <w:color w:val="004E9A"/>
        </w:rPr>
        <w:t xml:space="preserve">XCEPTIONAL </w:t>
      </w:r>
      <w:r>
        <w:rPr>
          <w:color w:val="004E9A"/>
          <w:sz w:val="28"/>
        </w:rPr>
        <w:t>P</w:t>
      </w:r>
      <w:r>
        <w:rPr>
          <w:color w:val="004E9A"/>
        </w:rPr>
        <w:t>REPARATION</w:t>
      </w:r>
      <w:r>
        <w:rPr>
          <w:color w:val="004E9A"/>
          <w:sz w:val="28"/>
        </w:rPr>
        <w:t xml:space="preserve"> </w:t>
      </w:r>
      <w:bookmarkEnd w:id="44"/>
    </w:p>
    <w:p w14:paraId="563D856F" w14:textId="77777777" w:rsidR="002C26E2" w:rsidRDefault="00812CB4">
      <w:pPr>
        <w:spacing w:after="132" w:line="259" w:lineRule="auto"/>
        <w:ind w:left="7" w:right="225"/>
      </w:pPr>
      <w:r>
        <w:t xml:space="preserve">Based on the evidence analysed, the Review Team concludes that: </w:t>
      </w:r>
    </w:p>
    <w:p w14:paraId="1134C90C" w14:textId="77777777" w:rsidR="002C26E2" w:rsidRDefault="00812CB4">
      <w:pPr>
        <w:numPr>
          <w:ilvl w:val="0"/>
          <w:numId w:val="35"/>
        </w:numPr>
        <w:spacing w:after="8"/>
        <w:ind w:right="225" w:hanging="360"/>
      </w:pPr>
      <w:r>
        <w:t xml:space="preserve">EP is currently being used extensively for work it was </w:t>
      </w:r>
      <w:r>
        <w:rPr>
          <w:b/>
        </w:rPr>
        <w:t>never intended to cover</w:t>
      </w:r>
      <w:r>
        <w:t xml:space="preserve">. </w:t>
      </w:r>
    </w:p>
    <w:p w14:paraId="31117D0B" w14:textId="77777777" w:rsidR="002C26E2" w:rsidRDefault="00812CB4">
      <w:pPr>
        <w:numPr>
          <w:ilvl w:val="0"/>
          <w:numId w:val="35"/>
        </w:numPr>
        <w:spacing w:after="87" w:line="259" w:lineRule="auto"/>
        <w:ind w:right="225" w:hanging="360"/>
      </w:pPr>
      <w:r>
        <w:t xml:space="preserve">The principal driver of EP expenditure is PPE related reading and disclosure. </w:t>
      </w:r>
    </w:p>
    <w:p w14:paraId="06F6E4DE" w14:textId="77777777" w:rsidR="002C26E2" w:rsidRDefault="00812CB4">
      <w:pPr>
        <w:numPr>
          <w:ilvl w:val="0"/>
          <w:numId w:val="35"/>
        </w:numPr>
        <w:spacing w:after="87" w:line="259" w:lineRule="auto"/>
        <w:ind w:right="225" w:hanging="360"/>
      </w:pPr>
      <w:r>
        <w:t xml:space="preserve">Continuing this approach risks entrenching inefficiency and escalating costs. </w:t>
      </w:r>
    </w:p>
    <w:p w14:paraId="48B6D245" w14:textId="77777777" w:rsidR="002C26E2" w:rsidRDefault="00812CB4">
      <w:pPr>
        <w:numPr>
          <w:ilvl w:val="0"/>
          <w:numId w:val="35"/>
        </w:numPr>
        <w:spacing w:after="449"/>
        <w:ind w:right="225" w:hanging="360"/>
      </w:pPr>
      <w:r>
        <w:t xml:space="preserve">A targeted reform focused on </w:t>
      </w:r>
      <w:r>
        <w:rPr>
          <w:b/>
        </w:rPr>
        <w:t>separating reading PPE from EP</w:t>
      </w:r>
      <w:r>
        <w:t xml:space="preserve"> is both rational and </w:t>
      </w:r>
      <w:proofErr w:type="gramStart"/>
      <w:r>
        <w:t>evidence-based</w:t>
      </w:r>
      <w:proofErr w:type="gramEnd"/>
      <w:r>
        <w:t xml:space="preserve">. </w:t>
      </w:r>
    </w:p>
    <w:p w14:paraId="28AD6EB2" w14:textId="77777777" w:rsidR="002C26E2" w:rsidRDefault="00812CB4">
      <w:pPr>
        <w:pStyle w:val="Heading2"/>
        <w:ind w:left="849" w:right="200" w:hanging="852"/>
      </w:pPr>
      <w:bookmarkStart w:id="45" w:name="_Toc107583"/>
      <w:r>
        <w:rPr>
          <w:color w:val="004E9A"/>
          <w:sz w:val="28"/>
        </w:rPr>
        <w:t>R</w:t>
      </w:r>
      <w:r>
        <w:rPr>
          <w:color w:val="004E9A"/>
        </w:rPr>
        <w:t>ECOMMENDATIONS</w:t>
      </w:r>
      <w:r>
        <w:rPr>
          <w:color w:val="004E9A"/>
          <w:sz w:val="28"/>
        </w:rPr>
        <w:t>:</w:t>
      </w:r>
      <w:r>
        <w:rPr>
          <w:color w:val="004E9A"/>
        </w:rPr>
        <w:t xml:space="preserve"> </w:t>
      </w:r>
      <w:r>
        <w:rPr>
          <w:color w:val="004E9A"/>
          <w:sz w:val="28"/>
        </w:rPr>
        <w:t>E</w:t>
      </w:r>
      <w:r>
        <w:rPr>
          <w:color w:val="004E9A"/>
        </w:rPr>
        <w:t xml:space="preserve">XCEPTIONAL </w:t>
      </w:r>
      <w:r>
        <w:rPr>
          <w:color w:val="004E9A"/>
          <w:sz w:val="28"/>
        </w:rPr>
        <w:t>P</w:t>
      </w:r>
      <w:r>
        <w:rPr>
          <w:color w:val="004E9A"/>
        </w:rPr>
        <w:t>REPARATION</w:t>
      </w:r>
      <w:r>
        <w:rPr>
          <w:color w:val="004E9A"/>
          <w:sz w:val="28"/>
        </w:rPr>
        <w:t xml:space="preserve"> </w:t>
      </w:r>
      <w:bookmarkEnd w:id="45"/>
    </w:p>
    <w:p w14:paraId="207C5D09" w14:textId="77777777" w:rsidR="002C26E2" w:rsidRDefault="00812CB4">
      <w:pPr>
        <w:ind w:left="7" w:right="225"/>
      </w:pPr>
      <w:r>
        <w:t xml:space="preserve">After analysing the current costs of EP, along with the way it is used, we would make the following recommendations:   </w:t>
      </w:r>
    </w:p>
    <w:p w14:paraId="5E09E8DA" w14:textId="77777777" w:rsidR="002C26E2" w:rsidRDefault="00812CB4">
      <w:pPr>
        <w:spacing w:after="232" w:line="263" w:lineRule="auto"/>
        <w:ind w:left="7"/>
      </w:pPr>
      <w:r>
        <w:rPr>
          <w:b/>
          <w:u w:val="single" w:color="000000"/>
        </w:rPr>
        <w:t>Recommendation 3:</w:t>
      </w:r>
      <w:r>
        <w:rPr>
          <w:b/>
        </w:rPr>
        <w:t xml:space="preserve">  </w:t>
      </w:r>
    </w:p>
    <w:p w14:paraId="3D36D115" w14:textId="77777777" w:rsidR="002C26E2" w:rsidRDefault="00812CB4">
      <w:pPr>
        <w:ind w:left="7" w:right="225"/>
      </w:pPr>
      <w:r>
        <w:t xml:space="preserve">Exceptional Preparation </w:t>
      </w:r>
      <w:r>
        <w:rPr>
          <w:b/>
        </w:rPr>
        <w:t>should no longer be used for Crown Court PPE</w:t>
      </w:r>
      <w:r>
        <w:t xml:space="preserve">, except in genuinely exceptional circumstances. </w:t>
      </w:r>
    </w:p>
    <w:p w14:paraId="7AFFDCF4" w14:textId="77777777" w:rsidR="002C26E2" w:rsidRDefault="00812CB4">
      <w:pPr>
        <w:spacing w:after="232" w:line="263" w:lineRule="auto"/>
        <w:ind w:left="7"/>
      </w:pPr>
      <w:r>
        <w:rPr>
          <w:b/>
          <w:u w:val="single" w:color="000000"/>
        </w:rPr>
        <w:t>Recommendation 4:</w:t>
      </w:r>
      <w:r>
        <w:rPr>
          <w:b/>
        </w:rPr>
        <w:t xml:space="preserve">  </w:t>
      </w:r>
    </w:p>
    <w:p w14:paraId="44CC8409" w14:textId="77777777" w:rsidR="002C26E2" w:rsidRDefault="00812CB4">
      <w:pPr>
        <w:ind w:left="7" w:right="225"/>
      </w:pPr>
      <w:r>
        <w:t xml:space="preserve">Reading of Crown Court PPE beyond </w:t>
      </w:r>
      <w:r>
        <w:rPr>
          <w:b/>
        </w:rPr>
        <w:t>3,000 pages</w:t>
      </w:r>
      <w:r>
        <w:t xml:space="preserve"> should be remunerated at a rate of </w:t>
      </w:r>
      <w:r>
        <w:rPr>
          <w:b/>
        </w:rPr>
        <w:t>£2.32 per page</w:t>
      </w:r>
      <w:r>
        <w:t xml:space="preserve">, applicable to both solicitors and counsel, irrespective of seniority. </w:t>
      </w:r>
    </w:p>
    <w:p w14:paraId="74F22FCC" w14:textId="77777777" w:rsidR="002C26E2" w:rsidRDefault="00812CB4">
      <w:pPr>
        <w:spacing w:after="232" w:line="263" w:lineRule="auto"/>
        <w:ind w:left="7"/>
      </w:pPr>
      <w:r>
        <w:rPr>
          <w:b/>
          <w:u w:val="single" w:color="000000"/>
        </w:rPr>
        <w:t>Recommendation 5:</w:t>
      </w:r>
      <w:r>
        <w:rPr>
          <w:b/>
        </w:rPr>
        <w:t xml:space="preserve">  </w:t>
      </w:r>
    </w:p>
    <w:p w14:paraId="0A209FD8" w14:textId="77777777" w:rsidR="002C26E2" w:rsidRDefault="00812CB4">
      <w:pPr>
        <w:ind w:left="7" w:right="225"/>
      </w:pPr>
      <w:r>
        <w:t xml:space="preserve">The Legal Services Agency should monitor PPE claims under the revised framework to ensure compliance and value for money. </w:t>
      </w:r>
    </w:p>
    <w:p w14:paraId="20A0E954" w14:textId="77777777" w:rsidR="002C26E2" w:rsidRDefault="00812CB4">
      <w:pPr>
        <w:spacing w:after="232" w:line="263" w:lineRule="auto"/>
        <w:ind w:left="7"/>
      </w:pPr>
      <w:r>
        <w:rPr>
          <w:b/>
          <w:u w:val="single" w:color="000000"/>
        </w:rPr>
        <w:t>Recommendation 6:</w:t>
      </w:r>
      <w:r>
        <w:rPr>
          <w:b/>
        </w:rPr>
        <w:t xml:space="preserve">  </w:t>
      </w:r>
    </w:p>
    <w:p w14:paraId="5823F668" w14:textId="77777777" w:rsidR="002C26E2" w:rsidRDefault="00812CB4">
      <w:pPr>
        <w:spacing w:line="259" w:lineRule="auto"/>
        <w:ind w:left="7" w:right="225"/>
      </w:pPr>
      <w:r>
        <w:t xml:space="preserve">Exceptional Preparation should not be available for: </w:t>
      </w:r>
    </w:p>
    <w:p w14:paraId="76B0EB24" w14:textId="77777777" w:rsidR="002C26E2" w:rsidRDefault="00812CB4">
      <w:pPr>
        <w:numPr>
          <w:ilvl w:val="0"/>
          <w:numId w:val="36"/>
        </w:numPr>
        <w:spacing w:line="259" w:lineRule="auto"/>
        <w:ind w:right="225" w:hanging="360"/>
      </w:pPr>
      <w:r>
        <w:t xml:space="preserve">consultations, or </w:t>
      </w:r>
    </w:p>
    <w:p w14:paraId="7C39AB7A" w14:textId="77777777" w:rsidR="002C26E2" w:rsidRDefault="00812CB4">
      <w:pPr>
        <w:numPr>
          <w:ilvl w:val="0"/>
          <w:numId w:val="36"/>
        </w:numPr>
        <w:spacing w:after="272"/>
        <w:ind w:right="225" w:hanging="360"/>
      </w:pPr>
      <w:r>
        <w:t xml:space="preserve">audio-visual evidence </w:t>
      </w:r>
      <w:proofErr w:type="gramStart"/>
      <w:r>
        <w:t>review</w:t>
      </w:r>
      <w:proofErr w:type="gramEnd"/>
      <w:r>
        <w:t xml:space="preserve">, except in genuinely exceptional circumstances, which are addressed separately in this report. </w:t>
      </w:r>
    </w:p>
    <w:p w14:paraId="4B745AA2" w14:textId="77777777" w:rsidR="002C26E2" w:rsidRDefault="00812CB4">
      <w:pPr>
        <w:ind w:left="7" w:right="225"/>
      </w:pPr>
      <w:r>
        <w:t xml:space="preserve">While we have made no recommendation specifically in relation to </w:t>
      </w:r>
      <w:r>
        <w:rPr>
          <w:b/>
        </w:rPr>
        <w:t>reading disclosure</w:t>
      </w:r>
      <w:r>
        <w:t xml:space="preserve">, this is due to the inability to extract the necessary evidence-based data in the time available to the review Team. However, the Department may wish to consider a similar approach to disclosure as we are recommending in relation to reading additional PPE, sourcing such supporting evidence as may be required to consider the cost implications of any change. </w:t>
      </w:r>
    </w:p>
    <w:p w14:paraId="49C5E7AC" w14:textId="77777777" w:rsidR="002C26E2" w:rsidRDefault="00812CB4">
      <w:pPr>
        <w:ind w:left="7" w:right="225"/>
      </w:pPr>
      <w:r>
        <w:t xml:space="preserve">Should Direct Committal not proceed as planned, the Department may wish to </w:t>
      </w:r>
      <w:r>
        <w:t xml:space="preserve">consider adopting a similar approach to EP in the Magistrates’ court as </w:t>
      </w:r>
      <w:r>
        <w:t xml:space="preserve">recommended for the Crown Court in the analysis above. </w:t>
      </w:r>
    </w:p>
    <w:p w14:paraId="48557DC3" w14:textId="77777777" w:rsidR="002C26E2" w:rsidRDefault="00812CB4">
      <w:pPr>
        <w:spacing w:after="349" w:line="265" w:lineRule="auto"/>
        <w:ind w:left="7"/>
      </w:pPr>
      <w:r>
        <w:rPr>
          <w:u w:val="single" w:color="000000"/>
        </w:rPr>
        <w:t>Costs</w:t>
      </w:r>
      <w:r>
        <w:t xml:space="preserve"> </w:t>
      </w:r>
    </w:p>
    <w:p w14:paraId="12C6783C" w14:textId="77777777" w:rsidR="002C26E2" w:rsidRDefault="00812CB4">
      <w:pPr>
        <w:spacing w:after="0"/>
        <w:ind w:left="7" w:right="225"/>
      </w:pPr>
      <w:r>
        <w:t xml:space="preserve">It has proved challenging to accurately forecast the costs associated with implementation of recommendations 3, 4 and 5 in the timeframe available for this </w:t>
      </w:r>
    </w:p>
    <w:p w14:paraId="62FF59D4" w14:textId="77777777" w:rsidR="002C26E2" w:rsidRDefault="00812CB4">
      <w:pPr>
        <w:spacing w:after="117" w:line="259" w:lineRule="auto"/>
        <w:ind w:left="7" w:right="225"/>
      </w:pPr>
      <w:r>
        <w:t xml:space="preserve">Accelerated Review, as additional disclosure is also often remunerated via the use of </w:t>
      </w:r>
    </w:p>
    <w:p w14:paraId="79261784" w14:textId="77777777" w:rsidR="002C26E2" w:rsidRDefault="00812CB4">
      <w:pPr>
        <w:ind w:left="7" w:right="225"/>
      </w:pPr>
      <w:r>
        <w:t xml:space="preserve">Exceptional Preparation and is recorded on LAMS in the same manner as Exceptional Preparation for additional PPE.   </w:t>
      </w:r>
    </w:p>
    <w:p w14:paraId="45612CAC" w14:textId="77777777" w:rsidR="002C26E2" w:rsidRDefault="00812CB4">
      <w:pPr>
        <w:ind w:left="7" w:right="225"/>
      </w:pPr>
      <w:r>
        <w:t xml:space="preserve">However, it is estimated at a high level that implementation of these recommendations will lead to additional legal aid costs per year of £874k.   </w:t>
      </w:r>
    </w:p>
    <w:p w14:paraId="236E3069" w14:textId="77777777" w:rsidR="00444ECE" w:rsidRDefault="00812CB4" w:rsidP="00444ECE">
      <w:pPr>
        <w:spacing w:after="0"/>
        <w:ind w:left="7" w:right="225"/>
        <w:sectPr w:rsidR="00444ECE">
          <w:pgSz w:w="11906" w:h="16838"/>
          <w:pgMar w:top="1222" w:right="1213" w:bottom="1358" w:left="1428" w:header="720" w:footer="707" w:gutter="0"/>
          <w:cols w:space="720"/>
        </w:sectPr>
      </w:pPr>
      <w:r>
        <w:t>The costs associated with Recommendation 6 will be covered in sections 9 and 10 of the report.</w:t>
      </w:r>
    </w:p>
    <w:p w14:paraId="632A929F" w14:textId="77777777" w:rsidR="002C26E2" w:rsidRDefault="00812CB4">
      <w:pPr>
        <w:pStyle w:val="Heading1"/>
        <w:spacing w:after="241" w:line="259" w:lineRule="auto"/>
        <w:ind w:left="991" w:hanging="994"/>
      </w:pPr>
      <w:bookmarkStart w:id="46" w:name="_Toc107584"/>
      <w:r>
        <w:rPr>
          <w:color w:val="004E9A"/>
          <w:sz w:val="36"/>
        </w:rPr>
        <w:t>H</w:t>
      </w:r>
      <w:r>
        <w:rPr>
          <w:color w:val="004E9A"/>
          <w:sz w:val="29"/>
        </w:rPr>
        <w:t xml:space="preserve">OURLY </w:t>
      </w:r>
      <w:r>
        <w:rPr>
          <w:color w:val="004E9A"/>
          <w:sz w:val="36"/>
        </w:rPr>
        <w:t>R</w:t>
      </w:r>
      <w:r>
        <w:rPr>
          <w:color w:val="004E9A"/>
          <w:sz w:val="29"/>
        </w:rPr>
        <w:t xml:space="preserve">ATES </w:t>
      </w:r>
      <w:r>
        <w:rPr>
          <w:color w:val="004E9A"/>
          <w:sz w:val="36"/>
        </w:rPr>
        <w:t>–</w:t>
      </w:r>
      <w:r>
        <w:rPr>
          <w:color w:val="004E9A"/>
          <w:sz w:val="29"/>
        </w:rPr>
        <w:t xml:space="preserve"> </w:t>
      </w:r>
      <w:r>
        <w:rPr>
          <w:color w:val="004E9A"/>
          <w:sz w:val="36"/>
        </w:rPr>
        <w:t>B</w:t>
      </w:r>
      <w:r>
        <w:rPr>
          <w:color w:val="004E9A"/>
          <w:sz w:val="29"/>
        </w:rPr>
        <w:t xml:space="preserve">ARRISTERS </w:t>
      </w:r>
      <w:r>
        <w:rPr>
          <w:color w:val="004E9A"/>
          <w:sz w:val="36"/>
        </w:rPr>
        <w:t>(E</w:t>
      </w:r>
      <w:r>
        <w:rPr>
          <w:color w:val="004E9A"/>
          <w:sz w:val="29"/>
        </w:rPr>
        <w:t xml:space="preserve">XCEPTIONAL </w:t>
      </w:r>
      <w:bookmarkEnd w:id="46"/>
    </w:p>
    <w:p w14:paraId="7347C0E4" w14:textId="77777777" w:rsidR="002C26E2" w:rsidRDefault="00812CB4">
      <w:pPr>
        <w:pStyle w:val="Heading3"/>
        <w:spacing w:after="0" w:line="259" w:lineRule="auto"/>
        <w:ind w:left="1016"/>
      </w:pPr>
      <w:bookmarkStart w:id="47" w:name="_Toc107585"/>
      <w:r>
        <w:rPr>
          <w:sz w:val="36"/>
        </w:rPr>
        <w:t>P</w:t>
      </w:r>
      <w:r>
        <w:rPr>
          <w:sz w:val="29"/>
        </w:rPr>
        <w:t xml:space="preserve">REPARATION AND </w:t>
      </w:r>
      <w:r>
        <w:rPr>
          <w:sz w:val="36"/>
        </w:rPr>
        <w:t>C</w:t>
      </w:r>
      <w:r>
        <w:rPr>
          <w:sz w:val="29"/>
        </w:rPr>
        <w:t>ONSULTATIONS</w:t>
      </w:r>
      <w:r>
        <w:rPr>
          <w:sz w:val="36"/>
        </w:rPr>
        <w:t>)</w:t>
      </w:r>
      <w:r>
        <w:rPr>
          <w:color w:val="000000"/>
          <w:sz w:val="36"/>
        </w:rPr>
        <w:t xml:space="preserve"> </w:t>
      </w:r>
      <w:bookmarkEnd w:id="47"/>
    </w:p>
    <w:p w14:paraId="22BFD095" w14:textId="77777777" w:rsidR="002C26E2" w:rsidRDefault="00812CB4">
      <w:pPr>
        <w:spacing w:after="293" w:line="259" w:lineRule="auto"/>
        <w:ind w:left="-17" w:firstLine="0"/>
      </w:pPr>
      <w:r>
        <w:rPr>
          <w:rFonts w:ascii="Calibri" w:eastAsia="Calibri" w:hAnsi="Calibri" w:cs="Calibri"/>
          <w:noProof/>
          <w:sz w:val="22"/>
        </w:rPr>
        <mc:AlternateContent>
          <mc:Choice Requires="wpg">
            <w:drawing>
              <wp:inline distT="0" distB="0" distL="0" distR="0" wp14:anchorId="4168B9AA" wp14:editId="69A773B1">
                <wp:extent cx="5769610" cy="6096"/>
                <wp:effectExtent l="0" t="0" r="0" b="0"/>
                <wp:docPr id="91518" name="Group 91518"/>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07" name="Shape 11000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91518" style="width:454.3pt;height:0.47998pt;mso-position-horizontal-relative:char;mso-position-vertical-relative:line" coordsize="57696,60">
                <v:shape id="Shape 110008"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33B1B162" w14:textId="77777777" w:rsidR="002C26E2" w:rsidRDefault="00812CB4">
      <w:pPr>
        <w:spacing w:after="445"/>
        <w:ind w:left="7" w:right="225"/>
      </w:pPr>
      <w:r>
        <w:t xml:space="preserve">This section considers what constitutes a </w:t>
      </w:r>
      <w:r>
        <w:rPr>
          <w:b/>
        </w:rPr>
        <w:t>fair and evidence-based hourly rate</w:t>
      </w:r>
      <w:r>
        <w:t xml:space="preserve"> </w:t>
      </w:r>
      <w:r>
        <w:t xml:space="preserve">for barristers for work remunerated on an hourly basis (principally </w:t>
      </w:r>
      <w:r>
        <w:rPr>
          <w:b/>
        </w:rPr>
        <w:t>Exceptional Preparation (EP)</w:t>
      </w:r>
      <w:r>
        <w:t xml:space="preserve"> and </w:t>
      </w:r>
      <w:r>
        <w:rPr>
          <w:b/>
        </w:rPr>
        <w:t>consultations</w:t>
      </w:r>
      <w:r>
        <w:t xml:space="preserve">) within the scope of the Accelerated Review. It addresses the rates requested in the CBA submissions, evaluates their internal </w:t>
      </w:r>
      <w:r>
        <w:t>consistency, and sets out the Review Team’s methodology and recommendations</w:t>
      </w:r>
      <w:r>
        <w:t xml:space="preserve">. </w:t>
      </w:r>
    </w:p>
    <w:p w14:paraId="42EEBA7E" w14:textId="77777777" w:rsidR="002C26E2" w:rsidRDefault="00812CB4">
      <w:pPr>
        <w:pStyle w:val="Heading2"/>
        <w:ind w:left="849" w:right="200" w:hanging="852"/>
      </w:pPr>
      <w:bookmarkStart w:id="48" w:name="_Toc107586"/>
      <w:r>
        <w:rPr>
          <w:color w:val="004E9A"/>
          <w:sz w:val="28"/>
        </w:rPr>
        <w:t>E</w:t>
      </w:r>
      <w:r>
        <w:rPr>
          <w:color w:val="004E9A"/>
        </w:rPr>
        <w:t xml:space="preserve">XISTING POSITION AND THE </w:t>
      </w:r>
      <w:r>
        <w:rPr>
          <w:color w:val="004E9A"/>
          <w:sz w:val="28"/>
        </w:rPr>
        <w:t>CBA</w:t>
      </w:r>
      <w:r>
        <w:rPr>
          <w:color w:val="004E9A"/>
        </w:rPr>
        <w:t xml:space="preserve"> REQUEST</w:t>
      </w:r>
      <w:r>
        <w:rPr>
          <w:color w:val="004E9A"/>
          <w:sz w:val="28"/>
        </w:rPr>
        <w:t xml:space="preserve"> </w:t>
      </w:r>
      <w:bookmarkEnd w:id="48"/>
    </w:p>
    <w:p w14:paraId="5B754EF6" w14:textId="77777777" w:rsidR="002C26E2" w:rsidRDefault="00812CB4">
      <w:pPr>
        <w:spacing w:after="236" w:line="259" w:lineRule="auto"/>
        <w:ind w:left="7"/>
      </w:pPr>
      <w:r>
        <w:rPr>
          <w:b/>
        </w:rPr>
        <w:t xml:space="preserve">Summary of the CBA’s stated requests </w:t>
      </w:r>
    </w:p>
    <w:p w14:paraId="3E630F61" w14:textId="77777777" w:rsidR="002C26E2" w:rsidRDefault="00812CB4">
      <w:pPr>
        <w:spacing w:after="0"/>
        <w:ind w:left="7" w:right="225"/>
      </w:pPr>
      <w:r>
        <w:t xml:space="preserve">At page 2 of their original submission to this Review, the CBA requested the following increases to their rates: </w:t>
      </w:r>
    </w:p>
    <w:p w14:paraId="7951D82C" w14:textId="77777777" w:rsidR="002C26E2" w:rsidRDefault="00812CB4">
      <w:pPr>
        <w:numPr>
          <w:ilvl w:val="0"/>
          <w:numId w:val="37"/>
        </w:numPr>
        <w:spacing w:after="118" w:line="259" w:lineRule="auto"/>
        <w:ind w:right="225" w:hanging="360"/>
      </w:pPr>
      <w:r>
        <w:t xml:space="preserve">A general percentage increase on standard fees </w:t>
      </w:r>
    </w:p>
    <w:p w14:paraId="53DF0B51" w14:textId="77777777" w:rsidR="002C26E2" w:rsidRDefault="00812CB4">
      <w:pPr>
        <w:numPr>
          <w:ilvl w:val="0"/>
          <w:numId w:val="37"/>
        </w:numPr>
        <w:spacing w:after="116" w:line="259" w:lineRule="auto"/>
        <w:ind w:right="225" w:hanging="360"/>
      </w:pPr>
      <w:r>
        <w:t xml:space="preserve">Hourly rates for Consultation and Exceptional Preparation of £225 per hour for </w:t>
      </w:r>
    </w:p>
    <w:p w14:paraId="2EC1FBAB" w14:textId="77777777" w:rsidR="002C26E2" w:rsidRDefault="00812CB4">
      <w:pPr>
        <w:spacing w:after="117" w:line="259" w:lineRule="auto"/>
        <w:ind w:left="742" w:right="225"/>
      </w:pPr>
      <w:r>
        <w:t xml:space="preserve">Senior Counsel and £137.50 and £112.50 for Junior Counsel </w:t>
      </w:r>
    </w:p>
    <w:p w14:paraId="62E08F68" w14:textId="77777777" w:rsidR="002C26E2" w:rsidRDefault="00812CB4">
      <w:pPr>
        <w:numPr>
          <w:ilvl w:val="0"/>
          <w:numId w:val="37"/>
        </w:numPr>
        <w:spacing w:after="0"/>
        <w:ind w:right="225" w:hanging="360"/>
      </w:pPr>
      <w:r>
        <w:t xml:space="preserve">Sentencing skeleton argument fees, to represent </w:t>
      </w:r>
      <w:proofErr w:type="gramStart"/>
      <w:r>
        <w:t>4 hours work,</w:t>
      </w:r>
      <w:proofErr w:type="gramEnd"/>
      <w:r>
        <w:t xml:space="preserve"> of £900 for Senior Counsel and £550 and £450 for Junior Counsel </w:t>
      </w:r>
    </w:p>
    <w:p w14:paraId="5BEA8323" w14:textId="77777777" w:rsidR="002C26E2" w:rsidRDefault="00812CB4">
      <w:pPr>
        <w:spacing w:after="117" w:line="259" w:lineRule="auto"/>
        <w:ind w:left="732" w:firstLine="0"/>
      </w:pPr>
      <w:r>
        <w:t xml:space="preserve"> </w:t>
      </w:r>
    </w:p>
    <w:p w14:paraId="4EB5C74E" w14:textId="77777777" w:rsidR="002C26E2" w:rsidRDefault="00812CB4">
      <w:pPr>
        <w:spacing w:after="239" w:line="361" w:lineRule="auto"/>
        <w:ind w:left="7" w:right="225"/>
      </w:pPr>
      <w:r>
        <w:t xml:space="preserve">The CBA submission discusses the impact of inflation on standard fees, stating that </w:t>
      </w:r>
      <w:r>
        <w:t>“even with the 16% uplift applied the fees as presently set fall far behind those that were deemed appropriate in 2005.”</w:t>
      </w:r>
      <w:r>
        <w:t xml:space="preserve"> </w:t>
      </w:r>
    </w:p>
    <w:p w14:paraId="2EABE343" w14:textId="77777777" w:rsidR="002C26E2" w:rsidRDefault="00812CB4">
      <w:pPr>
        <w:ind w:left="7" w:right="225"/>
      </w:pPr>
      <w:r>
        <w:t xml:space="preserve">Their submission goes on to quantify the figure that the CBA are requesting as the </w:t>
      </w:r>
      <w:r>
        <w:t xml:space="preserve">“general percentage increase on standard fees” as being a further “percentage uplift </w:t>
      </w:r>
      <w:r>
        <w:t xml:space="preserve">to standard fees of 14% [circa 32% increase from the 2016 fees] to all criminal legal aid fees plus a further increase of 2% in 2027 and a further 2% increase in 2028 as a </w:t>
      </w:r>
      <w:r>
        <w:t>means of ‘future</w:t>
      </w:r>
      <w:r>
        <w:t>-</w:t>
      </w:r>
      <w:r>
        <w:t>proofing’ the fees and also to allow the cost to be spread by the Department.” This statement is taken from their Submission on Page 23.</w:t>
      </w:r>
      <w:r>
        <w:t xml:space="preserve"> </w:t>
      </w:r>
    </w:p>
    <w:p w14:paraId="133A58B6" w14:textId="77777777" w:rsidR="002C26E2" w:rsidRDefault="00812CB4">
      <w:pPr>
        <w:ind w:left="7" w:right="225"/>
      </w:pPr>
      <w:r>
        <w:t xml:space="preserve">In other words, it appears that the CBA are looking for an additional 14% increase on the fees that have already been subject to the 16% uplift that was previously applied </w:t>
      </w:r>
      <w:r>
        <w:t xml:space="preserve">to the standard fees. Absent any “future proofing” noted above by the CBA, that </w:t>
      </w:r>
      <w:r>
        <w:t xml:space="preserve">would provide for a total uplift (including the 16% amount) of just over 32%.  </w:t>
      </w:r>
    </w:p>
    <w:p w14:paraId="4069E9A7" w14:textId="77777777" w:rsidR="002C26E2" w:rsidRDefault="00812CB4">
      <w:pPr>
        <w:ind w:left="7" w:right="225"/>
      </w:pPr>
      <w:r>
        <w:t xml:space="preserve">Considering at the CBA request for “future proofing” with a further 2% increase in </w:t>
      </w:r>
      <w:r>
        <w:t xml:space="preserve">2027 and another 2% increase in 2028, we do not consider that future increases form part of the Scope in the Terms of Reference for this Review. As such, we cannot consider requests for future increases.  </w:t>
      </w:r>
    </w:p>
    <w:p w14:paraId="3A35739A" w14:textId="77777777" w:rsidR="002C26E2" w:rsidRDefault="00812CB4">
      <w:pPr>
        <w:spacing w:after="115" w:line="259" w:lineRule="auto"/>
        <w:ind w:left="7" w:right="225"/>
      </w:pPr>
      <w:r>
        <w:t xml:space="preserve">As it currently stands, if one takes the current hourly rates for Exceptional </w:t>
      </w:r>
    </w:p>
    <w:p w14:paraId="2FA09CCF" w14:textId="77777777" w:rsidR="002C26E2" w:rsidRDefault="00812CB4" w:rsidP="00444ECE">
      <w:pPr>
        <w:spacing w:after="120"/>
        <w:ind w:left="7" w:right="225"/>
      </w:pPr>
      <w:r>
        <w:t xml:space="preserve">Preparation, adjust these to reflect the requested increase of 32% and finally reflect the requested hourly rates in other parts of the CBA submission, the result would be: </w:t>
      </w:r>
    </w:p>
    <w:tbl>
      <w:tblPr>
        <w:tblStyle w:val="TableGrid"/>
        <w:tblW w:w="8712" w:type="dxa"/>
        <w:tblInd w:w="18" w:type="dxa"/>
        <w:tblCellMar>
          <w:top w:w="49" w:type="dxa"/>
          <w:left w:w="107" w:type="dxa"/>
          <w:bottom w:w="0" w:type="dxa"/>
          <w:right w:w="172" w:type="dxa"/>
        </w:tblCellMar>
        <w:tblLook w:val="04A0" w:firstRow="1" w:lastRow="0" w:firstColumn="1" w:lastColumn="0" w:noHBand="0" w:noVBand="1"/>
      </w:tblPr>
      <w:tblGrid>
        <w:gridCol w:w="3398"/>
        <w:gridCol w:w="1848"/>
        <w:gridCol w:w="1919"/>
        <w:gridCol w:w="1547"/>
      </w:tblGrid>
      <w:tr w:rsidR="002C26E2" w14:paraId="24915AB1" w14:textId="77777777" w:rsidTr="00444ECE">
        <w:trPr>
          <w:trHeight w:val="1685"/>
        </w:trPr>
        <w:tc>
          <w:tcPr>
            <w:tcW w:w="3398" w:type="dxa"/>
            <w:tcBorders>
              <w:top w:val="single" w:sz="4" w:space="0" w:color="000000"/>
              <w:left w:val="single" w:sz="4" w:space="0" w:color="000000"/>
              <w:bottom w:val="single" w:sz="4" w:space="0" w:color="000000"/>
              <w:right w:val="single" w:sz="4" w:space="0" w:color="000000"/>
            </w:tcBorders>
            <w:shd w:val="clear" w:color="auto" w:fill="424996"/>
          </w:tcPr>
          <w:p w14:paraId="576D86AD" w14:textId="77777777" w:rsidR="002C26E2" w:rsidRDefault="00812CB4">
            <w:pPr>
              <w:spacing w:after="0" w:line="259" w:lineRule="auto"/>
              <w:ind w:left="0" w:firstLine="0"/>
            </w:pPr>
            <w:r>
              <w:rPr>
                <w:color w:val="FFFFFF"/>
                <w:sz w:val="22"/>
              </w:rPr>
              <w:t xml:space="preserve"> </w:t>
            </w:r>
          </w:p>
        </w:tc>
        <w:tc>
          <w:tcPr>
            <w:tcW w:w="1848" w:type="dxa"/>
            <w:tcBorders>
              <w:top w:val="single" w:sz="4" w:space="0" w:color="000000"/>
              <w:left w:val="single" w:sz="4" w:space="0" w:color="000000"/>
              <w:bottom w:val="single" w:sz="4" w:space="0" w:color="000000"/>
              <w:right w:val="single" w:sz="4" w:space="0" w:color="000000"/>
            </w:tcBorders>
            <w:shd w:val="clear" w:color="auto" w:fill="424996"/>
          </w:tcPr>
          <w:p w14:paraId="1FD48AA5" w14:textId="77777777" w:rsidR="002C26E2" w:rsidRDefault="00812CB4">
            <w:pPr>
              <w:spacing w:after="0" w:line="259" w:lineRule="auto"/>
              <w:ind w:left="2" w:firstLine="0"/>
            </w:pPr>
            <w:r>
              <w:rPr>
                <w:color w:val="FFFFFF"/>
                <w:sz w:val="22"/>
              </w:rPr>
              <w:t xml:space="preserve">2016 Rates </w:t>
            </w:r>
          </w:p>
        </w:tc>
        <w:tc>
          <w:tcPr>
            <w:tcW w:w="1919" w:type="dxa"/>
            <w:tcBorders>
              <w:top w:val="single" w:sz="4" w:space="0" w:color="000000"/>
              <w:left w:val="single" w:sz="4" w:space="0" w:color="000000"/>
              <w:bottom w:val="single" w:sz="4" w:space="0" w:color="000000"/>
              <w:right w:val="single" w:sz="4" w:space="0" w:color="000000"/>
            </w:tcBorders>
            <w:shd w:val="clear" w:color="auto" w:fill="424996"/>
          </w:tcPr>
          <w:p w14:paraId="37D78FB8" w14:textId="77777777" w:rsidR="002C26E2" w:rsidRDefault="00812CB4">
            <w:pPr>
              <w:spacing w:after="2" w:line="358" w:lineRule="auto"/>
              <w:ind w:left="0" w:firstLine="0"/>
              <w:jc w:val="both"/>
            </w:pPr>
            <w:r>
              <w:rPr>
                <w:color w:val="FFFFFF"/>
                <w:sz w:val="22"/>
              </w:rPr>
              <w:t xml:space="preserve">2026 Rates with requested 32% </w:t>
            </w:r>
          </w:p>
          <w:p w14:paraId="63B14D06" w14:textId="77777777" w:rsidR="002C26E2" w:rsidRDefault="00812CB4">
            <w:pPr>
              <w:spacing w:after="0" w:line="259" w:lineRule="auto"/>
              <w:ind w:left="0" w:firstLine="0"/>
            </w:pPr>
            <w:r>
              <w:rPr>
                <w:color w:val="FFFFFF"/>
                <w:sz w:val="22"/>
              </w:rPr>
              <w:t xml:space="preserve">uplift </w:t>
            </w:r>
          </w:p>
        </w:tc>
        <w:tc>
          <w:tcPr>
            <w:tcW w:w="1547" w:type="dxa"/>
            <w:tcBorders>
              <w:top w:val="single" w:sz="4" w:space="0" w:color="000000"/>
              <w:left w:val="single" w:sz="4" w:space="0" w:color="000000"/>
              <w:bottom w:val="single" w:sz="4" w:space="0" w:color="000000"/>
              <w:right w:val="single" w:sz="4" w:space="0" w:color="000000"/>
            </w:tcBorders>
            <w:shd w:val="clear" w:color="auto" w:fill="424996"/>
          </w:tcPr>
          <w:p w14:paraId="23E4CE73" w14:textId="77777777" w:rsidR="002C26E2" w:rsidRDefault="00812CB4">
            <w:pPr>
              <w:spacing w:after="0" w:line="358" w:lineRule="auto"/>
              <w:ind w:left="1" w:firstLine="0"/>
            </w:pPr>
            <w:r>
              <w:rPr>
                <w:color w:val="FFFFFF"/>
                <w:sz w:val="22"/>
              </w:rPr>
              <w:t xml:space="preserve">2026 Rates as per the </w:t>
            </w:r>
          </w:p>
          <w:p w14:paraId="1BD0E181" w14:textId="77777777" w:rsidR="002C26E2" w:rsidRDefault="00812CB4">
            <w:pPr>
              <w:spacing w:after="107" w:line="259" w:lineRule="auto"/>
              <w:ind w:left="1" w:firstLine="0"/>
            </w:pPr>
            <w:r>
              <w:rPr>
                <w:color w:val="FFFFFF"/>
                <w:sz w:val="22"/>
              </w:rPr>
              <w:t xml:space="preserve">CBA </w:t>
            </w:r>
          </w:p>
          <w:p w14:paraId="3767CF88" w14:textId="77777777" w:rsidR="002C26E2" w:rsidRDefault="00812CB4">
            <w:pPr>
              <w:spacing w:after="0" w:line="259" w:lineRule="auto"/>
              <w:ind w:left="1" w:firstLine="0"/>
            </w:pPr>
            <w:r>
              <w:rPr>
                <w:color w:val="FFFFFF"/>
                <w:sz w:val="22"/>
              </w:rPr>
              <w:t xml:space="preserve">Submission </w:t>
            </w:r>
          </w:p>
        </w:tc>
      </w:tr>
      <w:tr w:rsidR="002C26E2" w14:paraId="2287F29F" w14:textId="77777777" w:rsidTr="00444ECE">
        <w:trPr>
          <w:trHeight w:val="551"/>
        </w:trPr>
        <w:tc>
          <w:tcPr>
            <w:tcW w:w="3398" w:type="dxa"/>
            <w:tcBorders>
              <w:top w:val="single" w:sz="4" w:space="0" w:color="000000"/>
              <w:left w:val="single" w:sz="4" w:space="0" w:color="000000"/>
              <w:bottom w:val="single" w:sz="4" w:space="0" w:color="000000"/>
              <w:right w:val="single" w:sz="4" w:space="0" w:color="000000"/>
            </w:tcBorders>
          </w:tcPr>
          <w:p w14:paraId="7750FA4F" w14:textId="77777777" w:rsidR="002C26E2" w:rsidRDefault="00812CB4">
            <w:pPr>
              <w:spacing w:after="0" w:line="259" w:lineRule="auto"/>
              <w:ind w:left="0" w:firstLine="0"/>
            </w:pPr>
            <w:r>
              <w:rPr>
                <w:sz w:val="22"/>
              </w:rPr>
              <w:t xml:space="preserve">Senior Counsel </w:t>
            </w:r>
          </w:p>
        </w:tc>
        <w:tc>
          <w:tcPr>
            <w:tcW w:w="1848" w:type="dxa"/>
            <w:tcBorders>
              <w:top w:val="single" w:sz="4" w:space="0" w:color="000000"/>
              <w:left w:val="single" w:sz="4" w:space="0" w:color="000000"/>
              <w:bottom w:val="single" w:sz="4" w:space="0" w:color="000000"/>
              <w:right w:val="single" w:sz="4" w:space="0" w:color="000000"/>
            </w:tcBorders>
          </w:tcPr>
          <w:p w14:paraId="789FA9DF" w14:textId="77777777" w:rsidR="002C26E2" w:rsidRDefault="00812CB4">
            <w:pPr>
              <w:spacing w:after="0" w:line="259" w:lineRule="auto"/>
              <w:ind w:left="2" w:firstLine="0"/>
            </w:pPr>
            <w:r>
              <w:rPr>
                <w:sz w:val="22"/>
              </w:rPr>
              <w:t xml:space="preserve">£130.00 </w:t>
            </w:r>
          </w:p>
        </w:tc>
        <w:tc>
          <w:tcPr>
            <w:tcW w:w="1919" w:type="dxa"/>
            <w:tcBorders>
              <w:top w:val="single" w:sz="4" w:space="0" w:color="000000"/>
              <w:left w:val="single" w:sz="4" w:space="0" w:color="000000"/>
              <w:bottom w:val="single" w:sz="4" w:space="0" w:color="000000"/>
              <w:right w:val="single" w:sz="4" w:space="0" w:color="000000"/>
            </w:tcBorders>
          </w:tcPr>
          <w:p w14:paraId="2044D5E9" w14:textId="77777777" w:rsidR="002C26E2" w:rsidRDefault="00812CB4">
            <w:pPr>
              <w:spacing w:after="0" w:line="259" w:lineRule="auto"/>
              <w:ind w:left="0" w:firstLine="0"/>
            </w:pPr>
            <w:r>
              <w:rPr>
                <w:sz w:val="22"/>
              </w:rPr>
              <w:t xml:space="preserve">£171.60 </w:t>
            </w:r>
          </w:p>
        </w:tc>
        <w:tc>
          <w:tcPr>
            <w:tcW w:w="1547" w:type="dxa"/>
            <w:tcBorders>
              <w:top w:val="single" w:sz="4" w:space="0" w:color="000000"/>
              <w:left w:val="single" w:sz="4" w:space="0" w:color="000000"/>
              <w:bottom w:val="single" w:sz="4" w:space="0" w:color="000000"/>
              <w:right w:val="single" w:sz="4" w:space="0" w:color="000000"/>
            </w:tcBorders>
          </w:tcPr>
          <w:p w14:paraId="0BCF15E7" w14:textId="77777777" w:rsidR="002C26E2" w:rsidRDefault="00812CB4">
            <w:pPr>
              <w:spacing w:after="0" w:line="259" w:lineRule="auto"/>
              <w:ind w:left="1" w:firstLine="0"/>
            </w:pPr>
            <w:r>
              <w:rPr>
                <w:sz w:val="22"/>
              </w:rPr>
              <w:t xml:space="preserve">£225.00 </w:t>
            </w:r>
          </w:p>
        </w:tc>
      </w:tr>
      <w:tr w:rsidR="002C26E2" w14:paraId="6A153119" w14:textId="77777777" w:rsidTr="00444ECE">
        <w:trPr>
          <w:trHeight w:val="550"/>
        </w:trPr>
        <w:tc>
          <w:tcPr>
            <w:tcW w:w="3398" w:type="dxa"/>
            <w:tcBorders>
              <w:top w:val="single" w:sz="4" w:space="0" w:color="000000"/>
              <w:left w:val="single" w:sz="4" w:space="0" w:color="000000"/>
              <w:bottom w:val="single" w:sz="4" w:space="0" w:color="000000"/>
              <w:right w:val="single" w:sz="4" w:space="0" w:color="000000"/>
            </w:tcBorders>
          </w:tcPr>
          <w:p w14:paraId="54737DF9" w14:textId="77777777" w:rsidR="002C26E2" w:rsidRDefault="00812CB4">
            <w:pPr>
              <w:spacing w:after="0" w:line="259" w:lineRule="auto"/>
              <w:ind w:left="0" w:firstLine="0"/>
            </w:pPr>
            <w:r>
              <w:rPr>
                <w:sz w:val="22"/>
              </w:rPr>
              <w:t xml:space="preserve">Sole Junior Counsel </w:t>
            </w:r>
          </w:p>
        </w:tc>
        <w:tc>
          <w:tcPr>
            <w:tcW w:w="1848" w:type="dxa"/>
            <w:tcBorders>
              <w:top w:val="single" w:sz="4" w:space="0" w:color="000000"/>
              <w:left w:val="single" w:sz="4" w:space="0" w:color="000000"/>
              <w:bottom w:val="single" w:sz="4" w:space="0" w:color="000000"/>
              <w:right w:val="single" w:sz="4" w:space="0" w:color="000000"/>
            </w:tcBorders>
          </w:tcPr>
          <w:p w14:paraId="6DB4ACD8" w14:textId="77777777" w:rsidR="002C26E2" w:rsidRDefault="00812CB4">
            <w:pPr>
              <w:spacing w:after="0" w:line="259" w:lineRule="auto"/>
              <w:ind w:left="2" w:firstLine="0"/>
            </w:pPr>
            <w:r>
              <w:rPr>
                <w:sz w:val="22"/>
              </w:rPr>
              <w:t xml:space="preserve">£90.00 </w:t>
            </w:r>
          </w:p>
        </w:tc>
        <w:tc>
          <w:tcPr>
            <w:tcW w:w="1919" w:type="dxa"/>
            <w:tcBorders>
              <w:top w:val="single" w:sz="4" w:space="0" w:color="000000"/>
              <w:left w:val="single" w:sz="4" w:space="0" w:color="000000"/>
              <w:bottom w:val="single" w:sz="4" w:space="0" w:color="000000"/>
              <w:right w:val="single" w:sz="4" w:space="0" w:color="000000"/>
            </w:tcBorders>
          </w:tcPr>
          <w:p w14:paraId="4757D02E" w14:textId="77777777" w:rsidR="002C26E2" w:rsidRDefault="00812CB4">
            <w:pPr>
              <w:spacing w:after="0" w:line="259" w:lineRule="auto"/>
              <w:ind w:left="0" w:firstLine="0"/>
            </w:pPr>
            <w:r>
              <w:rPr>
                <w:sz w:val="22"/>
              </w:rPr>
              <w:t xml:space="preserve">£118.80 </w:t>
            </w:r>
          </w:p>
        </w:tc>
        <w:tc>
          <w:tcPr>
            <w:tcW w:w="1547" w:type="dxa"/>
            <w:tcBorders>
              <w:top w:val="single" w:sz="4" w:space="0" w:color="000000"/>
              <w:left w:val="single" w:sz="4" w:space="0" w:color="000000"/>
              <w:bottom w:val="single" w:sz="4" w:space="0" w:color="000000"/>
              <w:right w:val="single" w:sz="4" w:space="0" w:color="000000"/>
            </w:tcBorders>
          </w:tcPr>
          <w:p w14:paraId="0EDA5C57" w14:textId="77777777" w:rsidR="002C26E2" w:rsidRDefault="00812CB4">
            <w:pPr>
              <w:spacing w:after="0" w:line="259" w:lineRule="auto"/>
              <w:ind w:left="1" w:firstLine="0"/>
            </w:pPr>
            <w:r>
              <w:rPr>
                <w:sz w:val="22"/>
              </w:rPr>
              <w:t xml:space="preserve">£137.50 </w:t>
            </w:r>
          </w:p>
        </w:tc>
      </w:tr>
      <w:tr w:rsidR="002C26E2" w14:paraId="21226070" w14:textId="77777777" w:rsidTr="00444ECE">
        <w:trPr>
          <w:trHeight w:val="550"/>
        </w:trPr>
        <w:tc>
          <w:tcPr>
            <w:tcW w:w="3398" w:type="dxa"/>
            <w:tcBorders>
              <w:top w:val="single" w:sz="4" w:space="0" w:color="000000"/>
              <w:left w:val="single" w:sz="4" w:space="0" w:color="000000"/>
              <w:bottom w:val="single" w:sz="4" w:space="0" w:color="000000"/>
              <w:right w:val="single" w:sz="4" w:space="0" w:color="000000"/>
            </w:tcBorders>
          </w:tcPr>
          <w:p w14:paraId="4A096E76" w14:textId="77777777" w:rsidR="002C26E2" w:rsidRDefault="00812CB4">
            <w:pPr>
              <w:spacing w:after="0" w:line="259" w:lineRule="auto"/>
              <w:ind w:left="0" w:firstLine="0"/>
            </w:pPr>
            <w:r>
              <w:rPr>
                <w:sz w:val="22"/>
              </w:rPr>
              <w:t xml:space="preserve">Led Junior Counsel </w:t>
            </w:r>
          </w:p>
        </w:tc>
        <w:tc>
          <w:tcPr>
            <w:tcW w:w="1848" w:type="dxa"/>
            <w:tcBorders>
              <w:top w:val="single" w:sz="4" w:space="0" w:color="000000"/>
              <w:left w:val="single" w:sz="4" w:space="0" w:color="000000"/>
              <w:bottom w:val="single" w:sz="4" w:space="0" w:color="000000"/>
              <w:right w:val="single" w:sz="4" w:space="0" w:color="000000"/>
            </w:tcBorders>
          </w:tcPr>
          <w:p w14:paraId="66DF91A9" w14:textId="77777777" w:rsidR="002C26E2" w:rsidRDefault="00812CB4">
            <w:pPr>
              <w:spacing w:after="0" w:line="259" w:lineRule="auto"/>
              <w:ind w:left="2" w:firstLine="0"/>
            </w:pPr>
            <w:r>
              <w:rPr>
                <w:sz w:val="22"/>
              </w:rPr>
              <w:t xml:space="preserve">£80.00 </w:t>
            </w:r>
          </w:p>
        </w:tc>
        <w:tc>
          <w:tcPr>
            <w:tcW w:w="1919" w:type="dxa"/>
            <w:tcBorders>
              <w:top w:val="single" w:sz="4" w:space="0" w:color="000000"/>
              <w:left w:val="single" w:sz="4" w:space="0" w:color="000000"/>
              <w:bottom w:val="single" w:sz="4" w:space="0" w:color="000000"/>
              <w:right w:val="single" w:sz="4" w:space="0" w:color="000000"/>
            </w:tcBorders>
          </w:tcPr>
          <w:p w14:paraId="29E3F6B5" w14:textId="77777777" w:rsidR="002C26E2" w:rsidRDefault="00812CB4">
            <w:pPr>
              <w:spacing w:after="0" w:line="259" w:lineRule="auto"/>
              <w:ind w:left="0" w:firstLine="0"/>
            </w:pPr>
            <w:r>
              <w:rPr>
                <w:sz w:val="22"/>
              </w:rPr>
              <w:t xml:space="preserve">£105.60 </w:t>
            </w:r>
          </w:p>
        </w:tc>
        <w:tc>
          <w:tcPr>
            <w:tcW w:w="1547" w:type="dxa"/>
            <w:tcBorders>
              <w:top w:val="single" w:sz="4" w:space="0" w:color="000000"/>
              <w:left w:val="single" w:sz="4" w:space="0" w:color="000000"/>
              <w:bottom w:val="single" w:sz="4" w:space="0" w:color="000000"/>
              <w:right w:val="single" w:sz="4" w:space="0" w:color="000000"/>
            </w:tcBorders>
          </w:tcPr>
          <w:p w14:paraId="297C5054" w14:textId="77777777" w:rsidR="002C26E2" w:rsidRDefault="00812CB4">
            <w:pPr>
              <w:spacing w:after="0" w:line="259" w:lineRule="auto"/>
              <w:ind w:left="1" w:firstLine="0"/>
            </w:pPr>
            <w:r>
              <w:rPr>
                <w:sz w:val="22"/>
              </w:rPr>
              <w:t xml:space="preserve">£112.50 </w:t>
            </w:r>
          </w:p>
        </w:tc>
      </w:tr>
    </w:tbl>
    <w:p w14:paraId="3EDA6BD3" w14:textId="77777777" w:rsidR="002C26E2" w:rsidRDefault="00812CB4">
      <w:pPr>
        <w:spacing w:after="276" w:line="259" w:lineRule="auto"/>
        <w:ind w:left="12" w:firstLine="0"/>
      </w:pPr>
      <w:r>
        <w:t xml:space="preserve"> </w:t>
      </w:r>
    </w:p>
    <w:p w14:paraId="5C674DE6" w14:textId="77777777" w:rsidR="002C26E2" w:rsidRDefault="00812CB4">
      <w:pPr>
        <w:spacing w:after="159" w:line="361" w:lineRule="auto"/>
        <w:ind w:left="7" w:right="225"/>
      </w:pPr>
      <w:r>
        <w:t xml:space="preserve">The CBA submission is accompanied by an updated report from Goldblatt </w:t>
      </w:r>
      <w:r>
        <w:t xml:space="preserve">McGuigan, dated March 2026, titled “Updated analysis on criminal legal aid fees”, along with a previous report from Goldblatt McGuigan titled “Review of legal aid refresher fees”  being </w:t>
      </w:r>
      <w:r>
        <w:t xml:space="preserve">commissioned by the Executive Team of the Bar of Northern </w:t>
      </w:r>
      <w:r>
        <w:t xml:space="preserve">Ireland to “assist them in making representations to the DoJ with regard to increases that should be applied to Legal Aid rates, specifically in respect of refresher fees.” </w:t>
      </w:r>
      <w:r>
        <w:t xml:space="preserve">This report was issued in June 2025. </w:t>
      </w:r>
    </w:p>
    <w:p w14:paraId="02245F01" w14:textId="77777777" w:rsidR="002C26E2" w:rsidRDefault="00812CB4">
      <w:pPr>
        <w:spacing w:after="239" w:line="361" w:lineRule="auto"/>
        <w:ind w:left="7" w:right="225"/>
      </w:pPr>
      <w:r>
        <w:t xml:space="preserve">Both Goldblatt McGuigan reports argue for an increase in refresher fees and criminal legal aid fees, focussing their arguments on inflationary measures, benchmarking </w:t>
      </w:r>
      <w:r>
        <w:t>with other jurisdictions, fees paid for “other available work” and the cost of practicing as a barrister. The original report also focussed on other “professional comparisons”, including GP’s, solicitors, accountants and architects and their “typical” earnings.</w:t>
      </w:r>
      <w:r>
        <w:t xml:space="preserve"> </w:t>
      </w:r>
    </w:p>
    <w:p w14:paraId="485D52CC" w14:textId="77777777" w:rsidR="002C26E2" w:rsidRDefault="00812CB4">
      <w:pPr>
        <w:pStyle w:val="Heading2"/>
        <w:ind w:left="849" w:right="200" w:hanging="852"/>
      </w:pPr>
      <w:bookmarkStart w:id="49" w:name="_Toc107587"/>
      <w:r>
        <w:rPr>
          <w:color w:val="004E9A"/>
          <w:sz w:val="28"/>
        </w:rPr>
        <w:t>P</w:t>
      </w:r>
      <w:r>
        <w:rPr>
          <w:color w:val="004E9A"/>
        </w:rPr>
        <w:t xml:space="preserve">RINCIPLES AND CONSTRAINTS APPLIED BY THE </w:t>
      </w:r>
      <w:r>
        <w:rPr>
          <w:color w:val="004E9A"/>
          <w:sz w:val="28"/>
        </w:rPr>
        <w:t>R</w:t>
      </w:r>
      <w:r>
        <w:rPr>
          <w:color w:val="004E9A"/>
        </w:rPr>
        <w:t xml:space="preserve">EVIEW </w:t>
      </w:r>
      <w:r>
        <w:rPr>
          <w:color w:val="004E9A"/>
          <w:sz w:val="28"/>
        </w:rPr>
        <w:t>T</w:t>
      </w:r>
      <w:r>
        <w:rPr>
          <w:color w:val="004E9A"/>
        </w:rPr>
        <w:t>EAM</w:t>
      </w:r>
      <w:r>
        <w:rPr>
          <w:color w:val="004E9A"/>
          <w:sz w:val="28"/>
        </w:rPr>
        <w:t xml:space="preserve"> </w:t>
      </w:r>
      <w:bookmarkEnd w:id="49"/>
    </w:p>
    <w:p w14:paraId="3F3E471C" w14:textId="77777777" w:rsidR="002C26E2" w:rsidRDefault="00812CB4">
      <w:pPr>
        <w:spacing w:after="349" w:line="265" w:lineRule="auto"/>
        <w:ind w:left="7"/>
      </w:pPr>
      <w:r>
        <w:rPr>
          <w:u w:val="single" w:color="000000"/>
        </w:rPr>
        <w:t>Scope and evidential requirements</w:t>
      </w:r>
      <w:r>
        <w:t xml:space="preserve"> </w:t>
      </w:r>
    </w:p>
    <w:p w14:paraId="533AD656" w14:textId="77777777" w:rsidR="002C26E2" w:rsidRDefault="00812CB4">
      <w:pPr>
        <w:ind w:left="7" w:right="225"/>
      </w:pPr>
      <w:r>
        <w:t xml:space="preserve">The Terms of Reference require that recommendations be supported by evidence that is </w:t>
      </w:r>
      <w:r>
        <w:rPr>
          <w:b/>
        </w:rPr>
        <w:t>validated and verified</w:t>
      </w:r>
      <w:r>
        <w:t xml:space="preserve">, and sufficiently objective and robust. Where evidence is not capable of being validated to that standard, the Review Team cannot responsibly adopt it as a basis for recommendations. </w:t>
      </w:r>
    </w:p>
    <w:p w14:paraId="133D80EE" w14:textId="77777777" w:rsidR="002C26E2" w:rsidRDefault="00812CB4">
      <w:pPr>
        <w:ind w:left="7" w:right="225"/>
      </w:pPr>
      <w:r>
        <w:t xml:space="preserve">The Review Team has already considered the impact of Inflation in this report, in the </w:t>
      </w:r>
      <w:r>
        <w:t>section titled “Impact of inflation on Criminal Legal Aid Fees”.</w:t>
      </w:r>
      <w:r>
        <w:t xml:space="preserve"> </w:t>
      </w:r>
    </w:p>
    <w:p w14:paraId="3987DC37" w14:textId="77777777" w:rsidR="002C26E2" w:rsidRDefault="00812CB4">
      <w:pPr>
        <w:spacing w:after="193"/>
        <w:ind w:left="7" w:right="225"/>
      </w:pPr>
      <w:r>
        <w:t xml:space="preserve">The findings from that section will inform our consideration of the arguments for an increase in the hourly rates, paid to both Senior and Junior counsel. </w:t>
      </w:r>
    </w:p>
    <w:p w14:paraId="2C17F4D6" w14:textId="77777777" w:rsidR="002C26E2" w:rsidRDefault="00812CB4">
      <w:pPr>
        <w:spacing w:after="349" w:line="265" w:lineRule="auto"/>
        <w:ind w:left="7"/>
      </w:pPr>
      <w:r>
        <w:rPr>
          <w:u w:val="single" w:color="000000"/>
        </w:rPr>
        <w:t>Distinct nature of the barrister business model</w:t>
      </w:r>
      <w:r>
        <w:t xml:space="preserve"> </w:t>
      </w:r>
    </w:p>
    <w:p w14:paraId="2E187AD4" w14:textId="77777777" w:rsidR="002C26E2" w:rsidRDefault="00812CB4">
      <w:pPr>
        <w:spacing w:after="454"/>
        <w:ind w:left="7" w:right="225"/>
      </w:pPr>
      <w:r>
        <w:t xml:space="preserve">The Review Team recognises that barristers are typically </w:t>
      </w:r>
      <w:r>
        <w:rPr>
          <w:b/>
        </w:rPr>
        <w:t>self-employed sole traders</w:t>
      </w:r>
      <w:r>
        <w:t xml:space="preserve"> and operate differently from solicitor practices. As such, solicitor hourly rate approaches cannot be applied mechanically to counsel; an appropriate methodology must reflect self-employment, overhead structures, and a reasonable level of pension provision. </w:t>
      </w:r>
    </w:p>
    <w:p w14:paraId="7C2CDC9F" w14:textId="77777777" w:rsidR="002C26E2" w:rsidRDefault="00812CB4">
      <w:pPr>
        <w:pStyle w:val="Heading2"/>
        <w:spacing w:after="156" w:line="402" w:lineRule="auto"/>
        <w:ind w:left="849" w:right="200" w:hanging="852"/>
      </w:pPr>
      <w:bookmarkStart w:id="50" w:name="_Toc107588"/>
      <w:r>
        <w:rPr>
          <w:color w:val="004E9A"/>
          <w:sz w:val="28"/>
        </w:rPr>
        <w:t>M</w:t>
      </w:r>
      <w:r>
        <w:rPr>
          <w:color w:val="004E9A"/>
        </w:rPr>
        <w:t>ETHODOLOGY USED TO DERIVE AN EVIDENCE</w:t>
      </w:r>
      <w:r>
        <w:rPr>
          <w:color w:val="004E9A"/>
          <w:sz w:val="28"/>
        </w:rPr>
        <w:t>-</w:t>
      </w:r>
      <w:r>
        <w:rPr>
          <w:color w:val="004E9A"/>
        </w:rPr>
        <w:t>INFORMED HOURLY RATE</w:t>
      </w:r>
      <w:r>
        <w:rPr>
          <w:color w:val="004E9A"/>
          <w:sz w:val="28"/>
        </w:rPr>
        <w:t xml:space="preserve"> </w:t>
      </w:r>
      <w:bookmarkEnd w:id="50"/>
    </w:p>
    <w:p w14:paraId="6018B626" w14:textId="77777777" w:rsidR="002C26E2" w:rsidRDefault="00812CB4">
      <w:pPr>
        <w:spacing w:after="232" w:line="262" w:lineRule="auto"/>
        <w:ind w:left="7"/>
      </w:pPr>
      <w:r>
        <w:rPr>
          <w:u w:val="single" w:color="000000"/>
        </w:rPr>
        <w:t>Comparator-</w:t>
      </w:r>
      <w:r>
        <w:rPr>
          <w:u w:val="single" w:color="000000"/>
        </w:rPr>
        <w:t>anchored “salary equivalent” approach</w:t>
      </w:r>
      <w:r>
        <w:t xml:space="preserve"> </w:t>
      </w:r>
    </w:p>
    <w:p w14:paraId="2F10A958" w14:textId="77777777" w:rsidR="002C26E2" w:rsidRDefault="00812CB4">
      <w:pPr>
        <w:spacing w:after="114"/>
        <w:ind w:left="7" w:right="225"/>
      </w:pPr>
      <w:r>
        <w:t xml:space="preserve">To produce a stable, measurable basis for an hourly rate, the Review Team </w:t>
      </w:r>
      <w:r>
        <w:t xml:space="preserve">considers whether a reasonable “salary equivalent” can be identified that reflects the </w:t>
      </w:r>
      <w:r>
        <w:t xml:space="preserve">skill and responsibility of barristers undertaking criminal legal aid work. </w:t>
      </w:r>
    </w:p>
    <w:p w14:paraId="2D3D7122" w14:textId="77777777" w:rsidR="002C26E2" w:rsidRDefault="00812CB4">
      <w:pPr>
        <w:spacing w:after="114"/>
        <w:ind w:left="7" w:right="225"/>
      </w:pPr>
      <w:r>
        <w:t xml:space="preserve">We asked whether there are salaries that could reasonably be expected to reflect the skills and experience of a barrister? If so, then this is more likely to be a stable and measurable metric, with appropriate adjustments to reflect the overheads that barristers incur and to also allow for a reasonable level of pension provision. </w:t>
      </w:r>
    </w:p>
    <w:p w14:paraId="2929E8DD" w14:textId="77777777" w:rsidR="002C26E2" w:rsidRDefault="00812CB4">
      <w:pPr>
        <w:spacing w:after="132" w:line="259" w:lineRule="auto"/>
        <w:ind w:left="7" w:right="225"/>
      </w:pPr>
      <w:r>
        <w:t xml:space="preserve">For this purpose, the section uses comparator salary levels including: </w:t>
      </w:r>
    </w:p>
    <w:p w14:paraId="47D73303" w14:textId="77777777" w:rsidR="002C26E2" w:rsidRDefault="00812CB4">
      <w:pPr>
        <w:numPr>
          <w:ilvl w:val="0"/>
          <w:numId w:val="38"/>
        </w:numPr>
        <w:spacing w:after="113" w:line="265" w:lineRule="auto"/>
        <w:ind w:right="112" w:hanging="360"/>
      </w:pPr>
      <w:r>
        <w:rPr>
          <w:b/>
        </w:rPr>
        <w:t>NI County Court Judge</w:t>
      </w:r>
      <w:r>
        <w:t xml:space="preserve"> and </w:t>
      </w:r>
      <w:r>
        <w:rPr>
          <w:b/>
        </w:rPr>
        <w:t>NI District Judge</w:t>
      </w:r>
      <w:r>
        <w:t xml:space="preserve"> salaries (2025); and </w:t>
      </w:r>
    </w:p>
    <w:p w14:paraId="25CCD3EE" w14:textId="77777777" w:rsidR="002C26E2" w:rsidRDefault="00812CB4">
      <w:pPr>
        <w:numPr>
          <w:ilvl w:val="0"/>
          <w:numId w:val="38"/>
        </w:numPr>
        <w:spacing w:after="195"/>
        <w:ind w:right="112" w:hanging="360"/>
      </w:pPr>
      <w:r>
        <w:rPr>
          <w:b/>
        </w:rPr>
        <w:t>NHS Consultant</w:t>
      </w:r>
      <w:r>
        <w:t xml:space="preserve"> salaries (Threshold 4 and Threshold 1, as at 2025), </w:t>
      </w:r>
      <w:r>
        <w:t xml:space="preserve">recognising both professions’ responsibilities and the fact that both groups </w:t>
      </w:r>
      <w:r>
        <w:t xml:space="preserve">may have other income sources (private work/other practice). </w:t>
      </w:r>
    </w:p>
    <w:p w14:paraId="3DEB2322" w14:textId="77777777" w:rsidR="002C26E2" w:rsidRDefault="00812CB4">
      <w:pPr>
        <w:spacing w:after="349" w:line="265" w:lineRule="auto"/>
        <w:ind w:left="7"/>
      </w:pPr>
      <w:r>
        <w:rPr>
          <w:u w:val="single" w:color="000000"/>
        </w:rPr>
        <w:t>Costs of Entry to the Profession</w:t>
      </w:r>
      <w:r>
        <w:t xml:space="preserve"> </w:t>
      </w:r>
    </w:p>
    <w:p w14:paraId="00AFA8BF" w14:textId="77777777" w:rsidR="002C26E2" w:rsidRDefault="00812CB4">
      <w:pPr>
        <w:ind w:left="7" w:right="225"/>
      </w:pPr>
      <w:r>
        <w:t xml:space="preserve">As part of this Accelerated Review, we asked for further clarification on the overheads that Barristers typically incur. </w:t>
      </w:r>
    </w:p>
    <w:p w14:paraId="6DE94F3F" w14:textId="77777777" w:rsidR="002C26E2" w:rsidRDefault="00812CB4">
      <w:pPr>
        <w:spacing w:after="239" w:line="361" w:lineRule="auto"/>
        <w:ind w:left="7" w:right="225"/>
      </w:pPr>
      <w:r>
        <w:t xml:space="preserve">The CBA Supplementary Submission included a section titled “Costs of Entry to the Profession.” In this section, they argued that undergraduate debt has become “a significant feature”. In addition, a specific requirement of gaining entry to the barrister </w:t>
      </w:r>
      <w:r>
        <w:t xml:space="preserve">profession is that one must attend the Institute of Professional Legal Studies (IPLS) </w:t>
      </w:r>
      <w:r>
        <w:t xml:space="preserve">for a year. They stated that the cost of a year’s study at the IPLS now stands at </w:t>
      </w:r>
      <w:r>
        <w:t xml:space="preserve">£10,800 per annum and that this is not standard student debt, with no loans available as there are for undergraduate courses.  </w:t>
      </w:r>
    </w:p>
    <w:p w14:paraId="2A921601" w14:textId="77777777" w:rsidR="002C26E2" w:rsidRDefault="00812CB4">
      <w:pPr>
        <w:ind w:left="7" w:right="225"/>
      </w:pPr>
      <w:r>
        <w:t xml:space="preserve">Furthermore, they say that given the early lack of income (or perceived future) with criminal fees versus other fees, there will inevitably difficulty paying off IPLS loans for criminal barristers. </w:t>
      </w:r>
    </w:p>
    <w:p w14:paraId="4162FBF4" w14:textId="77777777" w:rsidR="002C26E2" w:rsidRDefault="00812CB4">
      <w:pPr>
        <w:ind w:left="7" w:right="225"/>
      </w:pPr>
      <w:r>
        <w:t xml:space="preserve">While we understand that there is a cost to qualify as a barrister, it is also important to recognise that most university students incur debt during their studies. Some 36% of all young people go on to higher education, so barristers are not unique in that regard. It is also estimated (by the Higher Education Statistics Agency) that between 5% and 11% of young graduates enter full-time further study, such as a master's degree, within 15 months of completing their undergraduate degree.  </w:t>
      </w:r>
    </w:p>
    <w:p w14:paraId="0D68A672" w14:textId="77777777" w:rsidR="002C26E2" w:rsidRDefault="00812CB4">
      <w:pPr>
        <w:ind w:left="7" w:right="225"/>
      </w:pPr>
      <w:r>
        <w:t xml:space="preserve">To complete this further study, students will incur additional debt, not just for their annual fees, but also to cover their living expenses while they are not earning a salary. </w:t>
      </w:r>
    </w:p>
    <w:p w14:paraId="02C61EFC" w14:textId="77777777" w:rsidR="002C26E2" w:rsidRDefault="00812CB4">
      <w:pPr>
        <w:spacing w:after="196"/>
        <w:ind w:left="7" w:right="225"/>
      </w:pPr>
      <w:r>
        <w:t xml:space="preserve">As such, we do not consider Barristers to be particularly unusual in the costs to entry to the profession. If we were to consider, for example, the medical profession, the many years of study and significant costs involved, where the BMA indicates some newly qualified doctors face debt burdens as high as £100k, this is likely to exceed the costs to qualify as a barrister. This is just one example and as such, we do not consider the criminal barrister to be unique in incurring a significant level of debt. </w:t>
      </w:r>
    </w:p>
    <w:p w14:paraId="059F6C89" w14:textId="77777777" w:rsidR="002C26E2" w:rsidRDefault="00812CB4">
      <w:pPr>
        <w:spacing w:after="349" w:line="265" w:lineRule="auto"/>
        <w:ind w:left="7"/>
      </w:pPr>
      <w:r>
        <w:rPr>
          <w:u w:val="single" w:color="000000"/>
        </w:rPr>
        <w:t>Overheads</w:t>
      </w:r>
      <w:r>
        <w:t xml:space="preserve">  </w:t>
      </w:r>
    </w:p>
    <w:p w14:paraId="50138615" w14:textId="77777777" w:rsidR="002C26E2" w:rsidRDefault="00812CB4">
      <w:pPr>
        <w:ind w:left="7" w:right="225"/>
      </w:pPr>
      <w:r>
        <w:t xml:space="preserve">The Review Team requested clarification on typical counsel overheads, and the section summarises costs associated with Bar Library membership and other overhead items. The Bar Library is described as a shared-services environment, including (at a basic level) a desk and access to support services such as IT support, research assistance, and mail/document handling. </w:t>
      </w:r>
    </w:p>
    <w:p w14:paraId="180BBAF3" w14:textId="77777777" w:rsidR="002C26E2" w:rsidRDefault="00812CB4">
      <w:pPr>
        <w:spacing w:after="132" w:line="259" w:lineRule="auto"/>
        <w:ind w:left="7" w:right="225"/>
      </w:pPr>
      <w:r>
        <w:t xml:space="preserve">The section includes: </w:t>
      </w:r>
    </w:p>
    <w:p w14:paraId="150FB2FA" w14:textId="77777777" w:rsidR="002C26E2" w:rsidRDefault="00812CB4">
      <w:pPr>
        <w:numPr>
          <w:ilvl w:val="0"/>
          <w:numId w:val="39"/>
        </w:numPr>
        <w:spacing w:after="8"/>
        <w:ind w:right="225" w:hanging="360"/>
      </w:pPr>
      <w:r>
        <w:t xml:space="preserve">Bar Library fees and their change from 2015 to 2026 for junior and senior members; </w:t>
      </w:r>
    </w:p>
    <w:p w14:paraId="1651EB3A" w14:textId="77777777" w:rsidR="002C26E2" w:rsidRDefault="00812CB4">
      <w:pPr>
        <w:numPr>
          <w:ilvl w:val="0"/>
          <w:numId w:val="39"/>
        </w:numPr>
        <w:spacing w:after="87" w:line="259" w:lineRule="auto"/>
        <w:ind w:right="225" w:hanging="360"/>
      </w:pPr>
      <w:r>
        <w:t xml:space="preserve">potential costs such as car parking and (for some) private office costs; and </w:t>
      </w:r>
    </w:p>
    <w:p w14:paraId="5FB9D1B5" w14:textId="77777777" w:rsidR="002C26E2" w:rsidRDefault="00812CB4">
      <w:pPr>
        <w:numPr>
          <w:ilvl w:val="0"/>
          <w:numId w:val="39"/>
        </w:numPr>
        <w:spacing w:after="152"/>
        <w:ind w:right="225" w:hanging="360"/>
      </w:pPr>
      <w:r>
        <w:t xml:space="preserve">other overhead categories listed in the submissions (e.g., professional development, IT, publications, accountancy). </w:t>
      </w:r>
    </w:p>
    <w:p w14:paraId="76AEEB16" w14:textId="77777777" w:rsidR="002C26E2" w:rsidRDefault="00812CB4">
      <w:pPr>
        <w:spacing w:after="293" w:line="259" w:lineRule="auto"/>
        <w:ind w:left="7" w:right="225"/>
      </w:pPr>
      <w:r>
        <w:t xml:space="preserve">The section then produces representative total overhead estimates for: </w:t>
      </w:r>
    </w:p>
    <w:p w14:paraId="2F7D9F22" w14:textId="77777777" w:rsidR="002C26E2" w:rsidRDefault="00812CB4">
      <w:pPr>
        <w:numPr>
          <w:ilvl w:val="0"/>
          <w:numId w:val="39"/>
        </w:numPr>
        <w:spacing w:after="87" w:line="259" w:lineRule="auto"/>
        <w:ind w:right="225" w:hanging="360"/>
      </w:pPr>
      <w:r>
        <w:t xml:space="preserve">a </w:t>
      </w:r>
      <w:r>
        <w:rPr>
          <w:b/>
        </w:rPr>
        <w:t>Junior</w:t>
      </w:r>
      <w:r>
        <w:t xml:space="preserve"> (without private office) and </w:t>
      </w:r>
    </w:p>
    <w:p w14:paraId="014EA3D0" w14:textId="77777777" w:rsidR="002C26E2" w:rsidRDefault="00812CB4">
      <w:pPr>
        <w:numPr>
          <w:ilvl w:val="0"/>
          <w:numId w:val="39"/>
        </w:numPr>
        <w:spacing w:after="271" w:line="259" w:lineRule="auto"/>
        <w:ind w:right="225" w:hanging="360"/>
      </w:pPr>
      <w:r>
        <w:t xml:space="preserve">a </w:t>
      </w:r>
      <w:r>
        <w:rPr>
          <w:b/>
        </w:rPr>
        <w:t>Senior</w:t>
      </w:r>
      <w:r>
        <w:t xml:space="preserve"> (including private office). </w:t>
      </w:r>
    </w:p>
    <w:p w14:paraId="40EF087A" w14:textId="77777777" w:rsidR="002C26E2" w:rsidRDefault="00812CB4">
      <w:pPr>
        <w:spacing w:after="349" w:line="265" w:lineRule="auto"/>
        <w:ind w:left="7"/>
      </w:pPr>
      <w:r>
        <w:rPr>
          <w:u w:val="single" w:color="000000"/>
        </w:rPr>
        <w:t>Bar Library Overheads</w:t>
      </w:r>
      <w:r>
        <w:t xml:space="preserve"> </w:t>
      </w:r>
    </w:p>
    <w:p w14:paraId="2D2506B7" w14:textId="77777777" w:rsidR="002C26E2" w:rsidRDefault="00812CB4">
      <w:pPr>
        <w:ind w:left="7" w:right="225"/>
      </w:pPr>
      <w:proofErr w:type="gramStart"/>
      <w:r>
        <w:t>The vast majority of</w:t>
      </w:r>
      <w:proofErr w:type="gramEnd"/>
      <w:r>
        <w:t xml:space="preserve"> criminal barristers undertaking legal aid work opt to work from </w:t>
      </w:r>
      <w:r>
        <w:t xml:space="preserve">the Bar Library as this affords a “shared service” environment where a common set </w:t>
      </w:r>
      <w:r>
        <w:t>of essential services can be provided to a barrister at (</w:t>
      </w:r>
      <w:proofErr w:type="gramStart"/>
      <w:r>
        <w:t>as a result of</w:t>
      </w:r>
      <w:proofErr w:type="gramEnd"/>
      <w:r>
        <w:t xml:space="preserve"> bulk procurement on their collective behalf) a discounted rate when compared to procuring them individually. </w:t>
      </w:r>
    </w:p>
    <w:p w14:paraId="007F69FC" w14:textId="77777777" w:rsidR="002C26E2" w:rsidRDefault="00812CB4">
      <w:pPr>
        <w:ind w:left="7" w:right="225"/>
      </w:pPr>
      <w:r>
        <w:t>To avail of Bar Library membership a barrister must pay an annual subscription (with different tiers of membership) in return for a core set of services. Additional amounts are paid for office rental, car parking and other relevant costs</w:t>
      </w:r>
      <w:r>
        <w:t xml:space="preserve">. </w:t>
      </w:r>
      <w:r>
        <w:t xml:space="preserve">The Bar Library is an </w:t>
      </w:r>
      <w:r>
        <w:t xml:space="preserve">office facility which is fully owned by the </w:t>
      </w:r>
      <w:proofErr w:type="gramStart"/>
      <w:r>
        <w:t>Bar</w:t>
      </w:r>
      <w:proofErr w:type="gramEnd"/>
      <w:r>
        <w:t xml:space="preserve"> and which is operated on a “not</w:t>
      </w:r>
      <w:r>
        <w:t xml:space="preserve">-for </w:t>
      </w:r>
      <w:r>
        <w:t xml:space="preserve">profit” basis for the benefit of its members. Members of the Library pay an annual </w:t>
      </w:r>
      <w:r>
        <w:t xml:space="preserve">subscription which includes, at its most basic level, a fixed fee for a desk within the building and access to support services such as IT support, Library research assistance and mail/document handling service. </w:t>
      </w:r>
    </w:p>
    <w:p w14:paraId="3311914F" w14:textId="77777777" w:rsidR="002C26E2" w:rsidRDefault="00812CB4">
      <w:pPr>
        <w:spacing w:after="115" w:line="259" w:lineRule="auto"/>
        <w:ind w:left="7" w:right="225"/>
      </w:pPr>
      <w:r>
        <w:t xml:space="preserve">There are three levels to this basic fee: </w:t>
      </w:r>
    </w:p>
    <w:p w14:paraId="44005659" w14:textId="77777777" w:rsidR="002C26E2" w:rsidRDefault="00812CB4">
      <w:pPr>
        <w:numPr>
          <w:ilvl w:val="0"/>
          <w:numId w:val="40"/>
        </w:numPr>
        <w:spacing w:after="116" w:line="259" w:lineRule="auto"/>
        <w:ind w:right="225" w:hanging="360"/>
      </w:pPr>
      <w:r>
        <w:t xml:space="preserve">a subsided fee is made available to those within their first 7 years of practice </w:t>
      </w:r>
    </w:p>
    <w:p w14:paraId="5BFD60B8" w14:textId="77777777" w:rsidR="002C26E2" w:rsidRDefault="00812CB4">
      <w:pPr>
        <w:numPr>
          <w:ilvl w:val="0"/>
          <w:numId w:val="40"/>
        </w:numPr>
        <w:spacing w:after="115" w:line="259" w:lineRule="auto"/>
        <w:ind w:right="225" w:hanging="360"/>
      </w:pPr>
      <w:r>
        <w:t xml:space="preserve">a set fee applies to all Junior Counsel </w:t>
      </w:r>
    </w:p>
    <w:p w14:paraId="227466D6" w14:textId="77777777" w:rsidR="002C26E2" w:rsidRDefault="00812CB4">
      <w:pPr>
        <w:numPr>
          <w:ilvl w:val="0"/>
          <w:numId w:val="40"/>
        </w:numPr>
        <w:spacing w:after="357" w:line="259" w:lineRule="auto"/>
        <w:ind w:right="225" w:hanging="360"/>
      </w:pPr>
      <w:r>
        <w:t xml:space="preserve">a higher set fee applies to all Senior Counsel </w:t>
      </w:r>
    </w:p>
    <w:p w14:paraId="6699DA1C" w14:textId="77777777" w:rsidR="002C26E2" w:rsidRDefault="00812CB4">
      <w:pPr>
        <w:spacing w:after="193"/>
        <w:ind w:left="7" w:right="225"/>
      </w:pPr>
      <w:r>
        <w:t xml:space="preserve">Bar Library fees include professional indemnity insurance, an annual Practicing Certificate and an ICO Registration Fee. The Bar Library fees in 2015 were £6,036 </w:t>
      </w:r>
      <w:r>
        <w:t xml:space="preserve">for a Junior and £8,137 for a Senior in that year. By 2026, the Junior’s Bar Library </w:t>
      </w:r>
      <w:r>
        <w:t>fee had i</w:t>
      </w:r>
      <w:r>
        <w:t xml:space="preserve">ncreased to £6,596 and the Senior’s fee was £8,697. While we recognise </w:t>
      </w:r>
      <w:r>
        <w:t xml:space="preserve">that some Seniors may pay an even higher fee, these fees are a representative sample of the fees paid and therefore we will use these for the purpose of our calculations. The rates of increase in these fees were 9.2% for Juniors and 6.9% for Seniors. Both figures are significantly below any inflationary measure. </w:t>
      </w:r>
    </w:p>
    <w:p w14:paraId="3751511E" w14:textId="77777777" w:rsidR="002C26E2" w:rsidRDefault="00812CB4">
      <w:pPr>
        <w:spacing w:after="349" w:line="265" w:lineRule="auto"/>
        <w:ind w:left="7"/>
      </w:pPr>
      <w:r>
        <w:rPr>
          <w:u w:val="single" w:color="000000"/>
        </w:rPr>
        <w:t>Other Core Overheads</w:t>
      </w:r>
      <w:r>
        <w:t xml:space="preserve"> </w:t>
      </w:r>
    </w:p>
    <w:p w14:paraId="45A1C9C9" w14:textId="77777777" w:rsidR="002C26E2" w:rsidRDefault="00812CB4">
      <w:pPr>
        <w:ind w:left="7" w:right="225"/>
      </w:pPr>
      <w:r>
        <w:t xml:space="preserve">Other potential overheads identified by the CBA included car parking at £1,500 per annum, with some members paying for a private office in the Bar Library, at an annual cost of £3,300. While not all counsel will maintain a private office, we are content to consider this cost in our calculations.  </w:t>
      </w:r>
    </w:p>
    <w:p w14:paraId="6AC6EE59" w14:textId="77777777" w:rsidR="002C26E2" w:rsidRDefault="00812CB4">
      <w:pPr>
        <w:spacing w:after="0" w:line="259" w:lineRule="auto"/>
        <w:ind w:left="7" w:right="225"/>
      </w:pPr>
      <w:r>
        <w:t xml:space="preserve">Other sundry overheads, identified by the CBA, include: </w:t>
      </w:r>
    </w:p>
    <w:tbl>
      <w:tblPr>
        <w:tblStyle w:val="TableGrid"/>
        <w:tblW w:w="4762" w:type="dxa"/>
        <w:tblInd w:w="372" w:type="dxa"/>
        <w:tblCellMar>
          <w:top w:w="0" w:type="dxa"/>
          <w:left w:w="0" w:type="dxa"/>
          <w:bottom w:w="1" w:type="dxa"/>
          <w:right w:w="0" w:type="dxa"/>
        </w:tblCellMar>
        <w:tblLook w:val="04A0" w:firstRow="1" w:lastRow="0" w:firstColumn="1" w:lastColumn="0" w:noHBand="0" w:noVBand="1"/>
      </w:tblPr>
      <w:tblGrid>
        <w:gridCol w:w="360"/>
        <w:gridCol w:w="2881"/>
        <w:gridCol w:w="720"/>
        <w:gridCol w:w="801"/>
      </w:tblGrid>
      <w:tr w:rsidR="008F6F08" w14:paraId="38A837B0" w14:textId="77777777" w:rsidTr="008F6F08">
        <w:trPr>
          <w:trHeight w:val="329"/>
        </w:trPr>
        <w:tc>
          <w:tcPr>
            <w:tcW w:w="360" w:type="dxa"/>
            <w:tcBorders>
              <w:top w:val="nil"/>
              <w:left w:val="nil"/>
              <w:bottom w:val="nil"/>
              <w:right w:val="nil"/>
            </w:tcBorders>
          </w:tcPr>
          <w:p w14:paraId="6CB2AD5D" w14:textId="77777777" w:rsidR="008F6F08" w:rsidRDefault="008F6F08">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tcPr>
          <w:p w14:paraId="25B15E5E" w14:textId="77777777" w:rsidR="008F6F08" w:rsidRDefault="008F6F08">
            <w:pPr>
              <w:spacing w:after="0" w:line="259" w:lineRule="auto"/>
              <w:ind w:left="0" w:firstLine="0"/>
            </w:pPr>
            <w:r>
              <w:t xml:space="preserve">Professional development  </w:t>
            </w:r>
          </w:p>
        </w:tc>
        <w:tc>
          <w:tcPr>
            <w:tcW w:w="720" w:type="dxa"/>
            <w:tcBorders>
              <w:top w:val="nil"/>
              <w:left w:val="nil"/>
              <w:bottom w:val="nil"/>
              <w:right w:val="nil"/>
            </w:tcBorders>
          </w:tcPr>
          <w:p w14:paraId="1DB1AB51" w14:textId="36819EAF" w:rsidR="008F6F08" w:rsidRDefault="008F6F08">
            <w:pPr>
              <w:spacing w:after="0" w:line="259" w:lineRule="auto"/>
              <w:ind w:left="0" w:firstLine="0"/>
            </w:pPr>
          </w:p>
        </w:tc>
        <w:tc>
          <w:tcPr>
            <w:tcW w:w="801" w:type="dxa"/>
            <w:tcBorders>
              <w:top w:val="nil"/>
              <w:left w:val="nil"/>
              <w:bottom w:val="nil"/>
              <w:right w:val="nil"/>
            </w:tcBorders>
          </w:tcPr>
          <w:p w14:paraId="440616DF" w14:textId="77777777" w:rsidR="008F6F08" w:rsidRDefault="008F6F08">
            <w:pPr>
              <w:spacing w:after="0" w:line="259" w:lineRule="auto"/>
              <w:ind w:left="0" w:firstLine="0"/>
            </w:pPr>
            <w:r>
              <w:t xml:space="preserve">£330 </w:t>
            </w:r>
          </w:p>
        </w:tc>
      </w:tr>
      <w:tr w:rsidR="002C26E2" w14:paraId="08E3DFA4" w14:textId="77777777">
        <w:trPr>
          <w:trHeight w:val="430"/>
        </w:trPr>
        <w:tc>
          <w:tcPr>
            <w:tcW w:w="360" w:type="dxa"/>
            <w:tcBorders>
              <w:top w:val="nil"/>
              <w:left w:val="nil"/>
              <w:bottom w:val="nil"/>
              <w:right w:val="nil"/>
            </w:tcBorders>
            <w:vAlign w:val="center"/>
          </w:tcPr>
          <w:p w14:paraId="286D2A23"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vAlign w:val="center"/>
          </w:tcPr>
          <w:p w14:paraId="7EF65A53" w14:textId="77777777" w:rsidR="002C26E2" w:rsidRDefault="00812CB4">
            <w:pPr>
              <w:spacing w:after="0" w:line="259" w:lineRule="auto"/>
              <w:ind w:left="0" w:firstLine="0"/>
            </w:pPr>
            <w:r>
              <w:t xml:space="preserve">Conference attendance  </w:t>
            </w:r>
          </w:p>
        </w:tc>
        <w:tc>
          <w:tcPr>
            <w:tcW w:w="720" w:type="dxa"/>
            <w:tcBorders>
              <w:top w:val="nil"/>
              <w:left w:val="nil"/>
              <w:bottom w:val="nil"/>
              <w:right w:val="nil"/>
            </w:tcBorders>
            <w:vAlign w:val="center"/>
          </w:tcPr>
          <w:p w14:paraId="4BF42BA5" w14:textId="77777777" w:rsidR="002C26E2" w:rsidRDefault="00812CB4">
            <w:pPr>
              <w:spacing w:after="0" w:line="259" w:lineRule="auto"/>
              <w:ind w:left="0" w:firstLine="0"/>
            </w:pPr>
            <w:r>
              <w:t xml:space="preserve"> </w:t>
            </w:r>
          </w:p>
        </w:tc>
        <w:tc>
          <w:tcPr>
            <w:tcW w:w="801" w:type="dxa"/>
            <w:tcBorders>
              <w:top w:val="nil"/>
              <w:left w:val="nil"/>
              <w:bottom w:val="nil"/>
              <w:right w:val="nil"/>
            </w:tcBorders>
            <w:vAlign w:val="center"/>
          </w:tcPr>
          <w:p w14:paraId="713B3EC4" w14:textId="77777777" w:rsidR="002C26E2" w:rsidRDefault="00812CB4">
            <w:pPr>
              <w:spacing w:after="0" w:line="259" w:lineRule="auto"/>
              <w:ind w:left="0" w:firstLine="0"/>
            </w:pPr>
            <w:r>
              <w:t xml:space="preserve">£100 </w:t>
            </w:r>
          </w:p>
        </w:tc>
      </w:tr>
      <w:tr w:rsidR="002C26E2" w14:paraId="0FFF453B" w14:textId="77777777">
        <w:trPr>
          <w:trHeight w:val="430"/>
        </w:trPr>
        <w:tc>
          <w:tcPr>
            <w:tcW w:w="360" w:type="dxa"/>
            <w:tcBorders>
              <w:top w:val="nil"/>
              <w:left w:val="nil"/>
              <w:bottom w:val="nil"/>
              <w:right w:val="nil"/>
            </w:tcBorders>
            <w:vAlign w:val="center"/>
          </w:tcPr>
          <w:p w14:paraId="29074290"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vAlign w:val="center"/>
          </w:tcPr>
          <w:p w14:paraId="169159B1" w14:textId="77777777" w:rsidR="002C26E2" w:rsidRDefault="00812CB4">
            <w:pPr>
              <w:spacing w:after="0" w:line="259" w:lineRule="auto"/>
              <w:ind w:left="0" w:firstLine="0"/>
            </w:pPr>
            <w:r>
              <w:t xml:space="preserve">IT software &amp; hardware </w:t>
            </w:r>
          </w:p>
        </w:tc>
        <w:tc>
          <w:tcPr>
            <w:tcW w:w="720" w:type="dxa"/>
            <w:tcBorders>
              <w:top w:val="nil"/>
              <w:left w:val="nil"/>
              <w:bottom w:val="nil"/>
              <w:right w:val="nil"/>
            </w:tcBorders>
            <w:vAlign w:val="center"/>
          </w:tcPr>
          <w:p w14:paraId="612AAACC" w14:textId="77777777" w:rsidR="002C26E2" w:rsidRDefault="00812CB4">
            <w:pPr>
              <w:spacing w:after="0" w:line="259" w:lineRule="auto"/>
              <w:ind w:left="0" w:firstLine="0"/>
            </w:pPr>
            <w:r>
              <w:t xml:space="preserve"> </w:t>
            </w:r>
          </w:p>
        </w:tc>
        <w:tc>
          <w:tcPr>
            <w:tcW w:w="801" w:type="dxa"/>
            <w:tcBorders>
              <w:top w:val="nil"/>
              <w:left w:val="nil"/>
              <w:bottom w:val="nil"/>
              <w:right w:val="nil"/>
            </w:tcBorders>
            <w:vAlign w:val="center"/>
          </w:tcPr>
          <w:p w14:paraId="3CE74999" w14:textId="77777777" w:rsidR="002C26E2" w:rsidRDefault="00812CB4">
            <w:pPr>
              <w:spacing w:after="0" w:line="259" w:lineRule="auto"/>
              <w:ind w:left="0" w:firstLine="0"/>
              <w:jc w:val="both"/>
            </w:pPr>
            <w:r>
              <w:t xml:space="preserve">£1,319 </w:t>
            </w:r>
          </w:p>
        </w:tc>
      </w:tr>
      <w:tr w:rsidR="002C26E2" w14:paraId="5FE3EDF8" w14:textId="77777777">
        <w:trPr>
          <w:trHeight w:val="431"/>
        </w:trPr>
        <w:tc>
          <w:tcPr>
            <w:tcW w:w="360" w:type="dxa"/>
            <w:tcBorders>
              <w:top w:val="nil"/>
              <w:left w:val="nil"/>
              <w:bottom w:val="nil"/>
              <w:right w:val="nil"/>
            </w:tcBorders>
            <w:vAlign w:val="center"/>
          </w:tcPr>
          <w:p w14:paraId="4F0FA952"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vAlign w:val="center"/>
          </w:tcPr>
          <w:p w14:paraId="26DF942B" w14:textId="77777777" w:rsidR="002C26E2" w:rsidRDefault="00812CB4">
            <w:pPr>
              <w:spacing w:after="0" w:line="259" w:lineRule="auto"/>
              <w:ind w:left="0" w:firstLine="0"/>
            </w:pPr>
            <w:r>
              <w:t xml:space="preserve">Textbooks/publications </w:t>
            </w:r>
          </w:p>
        </w:tc>
        <w:tc>
          <w:tcPr>
            <w:tcW w:w="720" w:type="dxa"/>
            <w:tcBorders>
              <w:top w:val="nil"/>
              <w:left w:val="nil"/>
              <w:bottom w:val="nil"/>
              <w:right w:val="nil"/>
            </w:tcBorders>
            <w:vAlign w:val="center"/>
          </w:tcPr>
          <w:p w14:paraId="6A44063E" w14:textId="77777777" w:rsidR="002C26E2" w:rsidRDefault="00812CB4">
            <w:pPr>
              <w:spacing w:after="0" w:line="259" w:lineRule="auto"/>
              <w:ind w:left="0" w:firstLine="0"/>
            </w:pPr>
            <w:r>
              <w:t xml:space="preserve"> </w:t>
            </w:r>
          </w:p>
        </w:tc>
        <w:tc>
          <w:tcPr>
            <w:tcW w:w="801" w:type="dxa"/>
            <w:tcBorders>
              <w:top w:val="nil"/>
              <w:left w:val="nil"/>
              <w:bottom w:val="nil"/>
              <w:right w:val="nil"/>
            </w:tcBorders>
            <w:vAlign w:val="center"/>
          </w:tcPr>
          <w:p w14:paraId="4EB06372" w14:textId="77777777" w:rsidR="002C26E2" w:rsidRDefault="00812CB4">
            <w:pPr>
              <w:spacing w:after="0" w:line="259" w:lineRule="auto"/>
              <w:ind w:left="0" w:firstLine="0"/>
            </w:pPr>
            <w:r>
              <w:t xml:space="preserve">£442 </w:t>
            </w:r>
          </w:p>
        </w:tc>
      </w:tr>
      <w:tr w:rsidR="002C26E2" w14:paraId="22C2C68C" w14:textId="77777777">
        <w:trPr>
          <w:trHeight w:val="431"/>
        </w:trPr>
        <w:tc>
          <w:tcPr>
            <w:tcW w:w="360" w:type="dxa"/>
            <w:tcBorders>
              <w:top w:val="nil"/>
              <w:left w:val="nil"/>
              <w:bottom w:val="nil"/>
              <w:right w:val="nil"/>
            </w:tcBorders>
            <w:vAlign w:val="center"/>
          </w:tcPr>
          <w:p w14:paraId="462D2FF7"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vAlign w:val="center"/>
          </w:tcPr>
          <w:p w14:paraId="4E95EDA6" w14:textId="77777777" w:rsidR="002C26E2" w:rsidRDefault="00812CB4">
            <w:pPr>
              <w:spacing w:after="0" w:line="259" w:lineRule="auto"/>
              <w:ind w:left="0" w:firstLine="0"/>
            </w:pPr>
            <w:r>
              <w:t xml:space="preserve">Accountancy services </w:t>
            </w:r>
          </w:p>
        </w:tc>
        <w:tc>
          <w:tcPr>
            <w:tcW w:w="720" w:type="dxa"/>
            <w:tcBorders>
              <w:top w:val="nil"/>
              <w:left w:val="nil"/>
              <w:bottom w:val="nil"/>
              <w:right w:val="nil"/>
            </w:tcBorders>
            <w:vAlign w:val="center"/>
          </w:tcPr>
          <w:p w14:paraId="68CAC7C1" w14:textId="77777777" w:rsidR="002C26E2" w:rsidRDefault="00812CB4">
            <w:pPr>
              <w:spacing w:after="0" w:line="259" w:lineRule="auto"/>
              <w:ind w:left="0" w:firstLine="0"/>
            </w:pPr>
            <w:r>
              <w:t xml:space="preserve"> </w:t>
            </w:r>
          </w:p>
        </w:tc>
        <w:tc>
          <w:tcPr>
            <w:tcW w:w="801" w:type="dxa"/>
            <w:tcBorders>
              <w:top w:val="nil"/>
              <w:left w:val="nil"/>
              <w:bottom w:val="nil"/>
              <w:right w:val="nil"/>
            </w:tcBorders>
            <w:vAlign w:val="center"/>
          </w:tcPr>
          <w:p w14:paraId="465E17C5" w14:textId="77777777" w:rsidR="002C26E2" w:rsidRDefault="00812CB4">
            <w:pPr>
              <w:spacing w:after="0" w:line="259" w:lineRule="auto"/>
              <w:ind w:left="0" w:firstLine="0"/>
              <w:jc w:val="both"/>
            </w:pPr>
            <w:r>
              <w:t xml:space="preserve">£1,700 </w:t>
            </w:r>
          </w:p>
        </w:tc>
      </w:tr>
      <w:tr w:rsidR="002C26E2" w14:paraId="77ED3E20" w14:textId="77777777">
        <w:trPr>
          <w:trHeight w:val="430"/>
        </w:trPr>
        <w:tc>
          <w:tcPr>
            <w:tcW w:w="360" w:type="dxa"/>
            <w:tcBorders>
              <w:top w:val="nil"/>
              <w:left w:val="nil"/>
              <w:bottom w:val="nil"/>
              <w:right w:val="nil"/>
            </w:tcBorders>
            <w:vAlign w:val="center"/>
          </w:tcPr>
          <w:p w14:paraId="2547A481"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vAlign w:val="center"/>
          </w:tcPr>
          <w:p w14:paraId="487EB2D1" w14:textId="77777777" w:rsidR="002C26E2" w:rsidRDefault="00812CB4">
            <w:pPr>
              <w:spacing w:after="0" w:line="259" w:lineRule="auto"/>
              <w:ind w:left="0" w:firstLine="0"/>
            </w:pPr>
            <w:r>
              <w:t xml:space="preserve">Printing &amp; sundries  </w:t>
            </w:r>
          </w:p>
        </w:tc>
        <w:tc>
          <w:tcPr>
            <w:tcW w:w="720" w:type="dxa"/>
            <w:tcBorders>
              <w:top w:val="nil"/>
              <w:left w:val="nil"/>
              <w:bottom w:val="nil"/>
              <w:right w:val="nil"/>
            </w:tcBorders>
            <w:vAlign w:val="center"/>
          </w:tcPr>
          <w:p w14:paraId="3F9EE07B" w14:textId="77777777" w:rsidR="002C26E2" w:rsidRDefault="00812CB4">
            <w:pPr>
              <w:spacing w:after="0" w:line="259" w:lineRule="auto"/>
              <w:ind w:left="0" w:firstLine="0"/>
            </w:pPr>
            <w:r>
              <w:t xml:space="preserve"> </w:t>
            </w:r>
          </w:p>
        </w:tc>
        <w:tc>
          <w:tcPr>
            <w:tcW w:w="801" w:type="dxa"/>
            <w:tcBorders>
              <w:top w:val="nil"/>
              <w:left w:val="nil"/>
              <w:bottom w:val="nil"/>
              <w:right w:val="nil"/>
            </w:tcBorders>
            <w:vAlign w:val="center"/>
          </w:tcPr>
          <w:p w14:paraId="4D169F62" w14:textId="77777777" w:rsidR="002C26E2" w:rsidRDefault="00812CB4">
            <w:pPr>
              <w:spacing w:after="0" w:line="259" w:lineRule="auto"/>
              <w:ind w:left="0" w:firstLine="0"/>
            </w:pPr>
            <w:r>
              <w:t xml:space="preserve">£233 </w:t>
            </w:r>
          </w:p>
        </w:tc>
      </w:tr>
      <w:tr w:rsidR="002C26E2" w14:paraId="4CFD1AB1" w14:textId="77777777">
        <w:trPr>
          <w:trHeight w:val="329"/>
        </w:trPr>
        <w:tc>
          <w:tcPr>
            <w:tcW w:w="360" w:type="dxa"/>
            <w:tcBorders>
              <w:top w:val="nil"/>
              <w:left w:val="nil"/>
              <w:bottom w:val="nil"/>
              <w:right w:val="nil"/>
            </w:tcBorders>
            <w:vAlign w:val="bottom"/>
          </w:tcPr>
          <w:p w14:paraId="6375556C" w14:textId="77777777" w:rsidR="002C26E2" w:rsidRDefault="00812CB4">
            <w:pPr>
              <w:spacing w:after="0" w:line="259" w:lineRule="auto"/>
              <w:ind w:left="0" w:firstLine="0"/>
            </w:pPr>
            <w:r>
              <w:rPr>
                <w:rFonts w:ascii="Segoe UI Symbol" w:eastAsia="Segoe UI Symbol" w:hAnsi="Segoe UI Symbol" w:cs="Segoe UI Symbol"/>
              </w:rPr>
              <w:t>•</w:t>
            </w:r>
            <w:r>
              <w:t xml:space="preserve"> </w:t>
            </w:r>
          </w:p>
        </w:tc>
        <w:tc>
          <w:tcPr>
            <w:tcW w:w="2881" w:type="dxa"/>
            <w:tcBorders>
              <w:top w:val="nil"/>
              <w:left w:val="nil"/>
              <w:bottom w:val="nil"/>
              <w:right w:val="nil"/>
            </w:tcBorders>
          </w:tcPr>
          <w:p w14:paraId="275AFD8E" w14:textId="0EBD5ECF" w:rsidR="002C26E2" w:rsidRDefault="00812CB4">
            <w:pPr>
              <w:tabs>
                <w:tab w:val="center" w:pos="1441"/>
                <w:tab w:val="center" w:pos="2161"/>
              </w:tabs>
              <w:spacing w:after="0" w:line="259" w:lineRule="auto"/>
              <w:ind w:left="0" w:firstLine="0"/>
            </w:pPr>
            <w:r>
              <w:t>Total</w:t>
            </w:r>
          </w:p>
        </w:tc>
        <w:tc>
          <w:tcPr>
            <w:tcW w:w="720" w:type="dxa"/>
            <w:tcBorders>
              <w:top w:val="nil"/>
              <w:left w:val="nil"/>
              <w:bottom w:val="nil"/>
              <w:right w:val="nil"/>
            </w:tcBorders>
          </w:tcPr>
          <w:p w14:paraId="68BE0AF3" w14:textId="77777777" w:rsidR="002C26E2" w:rsidRDefault="00812CB4">
            <w:pPr>
              <w:spacing w:after="0" w:line="259" w:lineRule="auto"/>
              <w:ind w:left="0" w:firstLine="0"/>
            </w:pPr>
            <w:r>
              <w:t xml:space="preserve"> </w:t>
            </w:r>
          </w:p>
        </w:tc>
        <w:tc>
          <w:tcPr>
            <w:tcW w:w="801" w:type="dxa"/>
            <w:tcBorders>
              <w:top w:val="nil"/>
              <w:left w:val="nil"/>
              <w:bottom w:val="nil"/>
              <w:right w:val="nil"/>
            </w:tcBorders>
          </w:tcPr>
          <w:p w14:paraId="5DB6E85D" w14:textId="77777777" w:rsidR="002C26E2" w:rsidRDefault="00812CB4">
            <w:pPr>
              <w:spacing w:after="0" w:line="259" w:lineRule="auto"/>
              <w:ind w:left="0" w:firstLine="0"/>
              <w:jc w:val="both"/>
            </w:pPr>
            <w:r>
              <w:t xml:space="preserve">£4,124 </w:t>
            </w:r>
          </w:p>
        </w:tc>
      </w:tr>
    </w:tbl>
    <w:p w14:paraId="24F5C926" w14:textId="77777777" w:rsidR="002C26E2" w:rsidRDefault="00812CB4" w:rsidP="00444ECE">
      <w:pPr>
        <w:spacing w:before="240"/>
        <w:ind w:left="7" w:right="225"/>
      </w:pPr>
      <w:r>
        <w:t xml:space="preserve">One of the challenges we face is where a barrister is also engaged in other work outside the criminal bar, such as private practice or other specific areas of practice. In such a case, the overheads outlined above would reasonably need to be split between each area of practice. </w:t>
      </w:r>
    </w:p>
    <w:p w14:paraId="04329046" w14:textId="77777777" w:rsidR="002C26E2" w:rsidRDefault="00812CB4">
      <w:pPr>
        <w:spacing w:after="193"/>
        <w:ind w:left="7" w:right="225"/>
      </w:pPr>
      <w:r>
        <w:t xml:space="preserve">In terms of the total overheads, for a Junior, these would be £12,220, which includes the Bar Library fee, the overheads outlined above and car parking, but we have assumed they do not have a private office in the Bar Library. In the case of a Senior, we calculate total overheads at £17,621 to include their Bar Library fee, the overheads outlined above, car parking and a private office. </w:t>
      </w:r>
    </w:p>
    <w:p w14:paraId="22D57C43" w14:textId="77777777" w:rsidR="002C26E2" w:rsidRDefault="00812CB4">
      <w:pPr>
        <w:spacing w:after="349" w:line="265" w:lineRule="auto"/>
        <w:ind w:left="7"/>
      </w:pPr>
      <w:r>
        <w:rPr>
          <w:u w:val="single" w:color="000000"/>
        </w:rPr>
        <w:t>Base Income</w:t>
      </w:r>
      <w:r>
        <w:t xml:space="preserve"> </w:t>
      </w:r>
    </w:p>
    <w:p w14:paraId="730CDDF8" w14:textId="77777777" w:rsidR="002C26E2" w:rsidRDefault="00812CB4">
      <w:pPr>
        <w:ind w:left="7" w:right="225"/>
      </w:pPr>
      <w:r>
        <w:t xml:space="preserve">When it comes to a base income level, we will again look at the benchmarking exercise that we used when discussing inflation. </w:t>
      </w:r>
    </w:p>
    <w:p w14:paraId="4FAC65CF" w14:textId="77777777" w:rsidR="002C26E2" w:rsidRDefault="00812CB4">
      <w:pPr>
        <w:ind w:left="7" w:right="225"/>
      </w:pPr>
      <w:r>
        <w:t xml:space="preserve">In that exercise, we noted that a County Court judge would expect to receive a salary of £187,743 in 2025. A District Judge would expect to receive a salary of £139,469. We have also added in another salary metric, that is for NHS Consultants, a job which most people would consider to be one of the most important in our society, one with very significant responsibilities. </w:t>
      </w:r>
    </w:p>
    <w:p w14:paraId="23CA93A3" w14:textId="77777777" w:rsidR="002C26E2" w:rsidRDefault="00812CB4">
      <w:pPr>
        <w:ind w:left="7" w:right="225"/>
      </w:pPr>
      <w:r>
        <w:t>The highest grade of NHS Consultant would expect to receive an annual salary of £145,478 in 2025 and a more junior NHS Consultant, in their first three years, would expect to receive a salary of £</w:t>
      </w:r>
      <w:proofErr w:type="gramStart"/>
      <w:r>
        <w:t>109,725.Both</w:t>
      </w:r>
      <w:proofErr w:type="gramEnd"/>
      <w:r>
        <w:t xml:space="preserve"> NHS Consultant salaries are significantly below those paid to members of the judiciary. </w:t>
      </w:r>
    </w:p>
    <w:p w14:paraId="2D8E9B19" w14:textId="77777777" w:rsidR="002C26E2" w:rsidRDefault="00812CB4">
      <w:pPr>
        <w:ind w:left="7" w:right="225"/>
      </w:pPr>
      <w:r>
        <w:t xml:space="preserve">While we recognise that NHS Consultants will often undertake private work in addition to their NHS work, criminal barristers have a similar ability to take on private clients or to work in other practice areas. </w:t>
      </w:r>
    </w:p>
    <w:p w14:paraId="52E0E17A" w14:textId="11EAF48F" w:rsidR="002C26E2" w:rsidRDefault="00812CB4">
      <w:pPr>
        <w:spacing w:after="0" w:line="259" w:lineRule="auto"/>
        <w:ind w:left="7" w:right="225"/>
      </w:pPr>
      <w:r>
        <w:t>The question we must ask ourselves is, what would be a reasonable salary level on which to calculate an hourly rate for both Senior and Junior Counsel? Let us consider the options in the table below:</w:t>
      </w:r>
    </w:p>
    <w:p w14:paraId="1A06E3C8" w14:textId="77777777" w:rsidR="00444ECE" w:rsidRDefault="00444ECE">
      <w:pPr>
        <w:spacing w:after="0" w:line="259" w:lineRule="auto"/>
        <w:ind w:left="7" w:right="225"/>
      </w:pPr>
    </w:p>
    <w:tbl>
      <w:tblPr>
        <w:tblStyle w:val="TableGrid"/>
        <w:tblW w:w="5888" w:type="dxa"/>
        <w:tblInd w:w="18" w:type="dxa"/>
        <w:tblCellMar>
          <w:top w:w="4" w:type="dxa"/>
          <w:left w:w="107" w:type="dxa"/>
          <w:bottom w:w="0" w:type="dxa"/>
          <w:right w:w="62" w:type="dxa"/>
        </w:tblCellMar>
        <w:tblLook w:val="04A0" w:firstRow="1" w:lastRow="0" w:firstColumn="1" w:lastColumn="0" w:noHBand="0" w:noVBand="1"/>
      </w:tblPr>
      <w:tblGrid>
        <w:gridCol w:w="4530"/>
        <w:gridCol w:w="1358"/>
      </w:tblGrid>
      <w:tr w:rsidR="002C26E2" w14:paraId="45A331C6" w14:textId="77777777">
        <w:trPr>
          <w:trHeight w:val="607"/>
        </w:trPr>
        <w:tc>
          <w:tcPr>
            <w:tcW w:w="4530" w:type="dxa"/>
            <w:tcBorders>
              <w:top w:val="single" w:sz="4" w:space="0" w:color="000000"/>
              <w:left w:val="single" w:sz="4" w:space="0" w:color="000000"/>
              <w:bottom w:val="single" w:sz="4" w:space="0" w:color="000000"/>
              <w:right w:val="single" w:sz="4" w:space="0" w:color="000000"/>
            </w:tcBorders>
            <w:shd w:val="clear" w:color="auto" w:fill="424996"/>
          </w:tcPr>
          <w:p w14:paraId="1836E588" w14:textId="77777777" w:rsidR="002C26E2" w:rsidRDefault="00812CB4">
            <w:pPr>
              <w:spacing w:after="0" w:line="259" w:lineRule="auto"/>
              <w:ind w:left="0" w:firstLine="0"/>
            </w:pPr>
            <w:r>
              <w:rPr>
                <w:rFonts w:ascii="Calibri" w:eastAsia="Calibri" w:hAnsi="Calibri" w:cs="Calibri"/>
                <w:b/>
                <w:color w:val="FFFFFF"/>
              </w:rPr>
              <w:t xml:space="preserve">Position </w:t>
            </w:r>
          </w:p>
        </w:tc>
        <w:tc>
          <w:tcPr>
            <w:tcW w:w="1358" w:type="dxa"/>
            <w:tcBorders>
              <w:top w:val="single" w:sz="4" w:space="0" w:color="000000"/>
              <w:left w:val="single" w:sz="4" w:space="0" w:color="000000"/>
              <w:bottom w:val="single" w:sz="4" w:space="0" w:color="000000"/>
              <w:right w:val="single" w:sz="4" w:space="0" w:color="000000"/>
            </w:tcBorders>
            <w:shd w:val="clear" w:color="auto" w:fill="424996"/>
          </w:tcPr>
          <w:p w14:paraId="0D104E94" w14:textId="77777777" w:rsidR="002C26E2" w:rsidRDefault="00812CB4">
            <w:pPr>
              <w:spacing w:after="0" w:line="259" w:lineRule="auto"/>
              <w:ind w:left="2" w:firstLine="0"/>
            </w:pPr>
            <w:r>
              <w:rPr>
                <w:rFonts w:ascii="Calibri" w:eastAsia="Calibri" w:hAnsi="Calibri" w:cs="Calibri"/>
                <w:b/>
                <w:color w:val="FFFFFF"/>
              </w:rPr>
              <w:t xml:space="preserve">01/04/2025 </w:t>
            </w:r>
          </w:p>
        </w:tc>
      </w:tr>
      <w:tr w:rsidR="002C26E2" w14:paraId="34DCE103" w14:textId="77777777">
        <w:trPr>
          <w:trHeight w:val="611"/>
        </w:trPr>
        <w:tc>
          <w:tcPr>
            <w:tcW w:w="4530" w:type="dxa"/>
            <w:tcBorders>
              <w:top w:val="single" w:sz="4" w:space="0" w:color="000000"/>
              <w:left w:val="single" w:sz="4" w:space="0" w:color="000000"/>
              <w:bottom w:val="single" w:sz="4" w:space="0" w:color="000000"/>
              <w:right w:val="single" w:sz="4" w:space="0" w:color="000000"/>
            </w:tcBorders>
          </w:tcPr>
          <w:p w14:paraId="20B940A3" w14:textId="77777777" w:rsidR="002C26E2" w:rsidRDefault="00812CB4">
            <w:pPr>
              <w:spacing w:after="0" w:line="259" w:lineRule="auto"/>
              <w:ind w:left="0" w:firstLine="0"/>
            </w:pPr>
            <w:r>
              <w:rPr>
                <w:rFonts w:ascii="Calibri" w:eastAsia="Calibri" w:hAnsi="Calibri" w:cs="Calibri"/>
              </w:rPr>
              <w:t xml:space="preserve">County Court Judge (NI) </w:t>
            </w:r>
          </w:p>
        </w:tc>
        <w:tc>
          <w:tcPr>
            <w:tcW w:w="1358" w:type="dxa"/>
            <w:tcBorders>
              <w:top w:val="single" w:sz="4" w:space="0" w:color="000000"/>
              <w:left w:val="single" w:sz="4" w:space="0" w:color="000000"/>
              <w:bottom w:val="single" w:sz="4" w:space="0" w:color="000000"/>
              <w:right w:val="single" w:sz="4" w:space="0" w:color="000000"/>
            </w:tcBorders>
          </w:tcPr>
          <w:p w14:paraId="7DF18088" w14:textId="77777777" w:rsidR="002C26E2" w:rsidRDefault="00812CB4">
            <w:pPr>
              <w:spacing w:after="0" w:line="259" w:lineRule="auto"/>
              <w:ind w:left="0" w:right="44" w:firstLine="0"/>
              <w:jc w:val="right"/>
            </w:pPr>
            <w:r>
              <w:rPr>
                <w:rFonts w:ascii="Calibri" w:eastAsia="Calibri" w:hAnsi="Calibri" w:cs="Calibri"/>
              </w:rPr>
              <w:t xml:space="preserve">£187,743 </w:t>
            </w:r>
          </w:p>
        </w:tc>
      </w:tr>
      <w:tr w:rsidR="002C26E2" w14:paraId="06376BEB" w14:textId="77777777">
        <w:trPr>
          <w:trHeight w:val="610"/>
        </w:trPr>
        <w:tc>
          <w:tcPr>
            <w:tcW w:w="4530" w:type="dxa"/>
            <w:tcBorders>
              <w:top w:val="single" w:sz="4" w:space="0" w:color="000000"/>
              <w:left w:val="single" w:sz="4" w:space="0" w:color="000000"/>
              <w:bottom w:val="single" w:sz="4" w:space="0" w:color="000000"/>
              <w:right w:val="single" w:sz="4" w:space="0" w:color="000000"/>
            </w:tcBorders>
          </w:tcPr>
          <w:p w14:paraId="18B0F075" w14:textId="77777777" w:rsidR="002C26E2" w:rsidRDefault="00812CB4">
            <w:pPr>
              <w:spacing w:after="0" w:line="259" w:lineRule="auto"/>
              <w:ind w:left="0" w:firstLine="0"/>
            </w:pPr>
            <w:r>
              <w:rPr>
                <w:rFonts w:ascii="Calibri" w:eastAsia="Calibri" w:hAnsi="Calibri" w:cs="Calibri"/>
              </w:rPr>
              <w:t xml:space="preserve">District Judge (MC) (NI) </w:t>
            </w:r>
          </w:p>
        </w:tc>
        <w:tc>
          <w:tcPr>
            <w:tcW w:w="1358" w:type="dxa"/>
            <w:tcBorders>
              <w:top w:val="single" w:sz="4" w:space="0" w:color="000000"/>
              <w:left w:val="single" w:sz="4" w:space="0" w:color="000000"/>
              <w:bottom w:val="single" w:sz="4" w:space="0" w:color="000000"/>
              <w:right w:val="single" w:sz="4" w:space="0" w:color="000000"/>
            </w:tcBorders>
          </w:tcPr>
          <w:p w14:paraId="57056D1A" w14:textId="77777777" w:rsidR="002C26E2" w:rsidRDefault="00812CB4">
            <w:pPr>
              <w:spacing w:after="0" w:line="259" w:lineRule="auto"/>
              <w:ind w:left="0" w:right="44" w:firstLine="0"/>
              <w:jc w:val="right"/>
            </w:pPr>
            <w:r>
              <w:rPr>
                <w:rFonts w:ascii="Calibri" w:eastAsia="Calibri" w:hAnsi="Calibri" w:cs="Calibri"/>
              </w:rPr>
              <w:t xml:space="preserve">£139,469 </w:t>
            </w:r>
          </w:p>
        </w:tc>
      </w:tr>
      <w:tr w:rsidR="002C26E2" w14:paraId="42801227" w14:textId="77777777">
        <w:trPr>
          <w:trHeight w:val="610"/>
        </w:trPr>
        <w:tc>
          <w:tcPr>
            <w:tcW w:w="4530" w:type="dxa"/>
            <w:tcBorders>
              <w:top w:val="single" w:sz="4" w:space="0" w:color="000000"/>
              <w:left w:val="single" w:sz="4" w:space="0" w:color="000000"/>
              <w:bottom w:val="single" w:sz="4" w:space="0" w:color="000000"/>
              <w:right w:val="single" w:sz="4" w:space="0" w:color="000000"/>
            </w:tcBorders>
          </w:tcPr>
          <w:p w14:paraId="1733D850" w14:textId="77777777" w:rsidR="002C26E2" w:rsidRDefault="00812CB4">
            <w:pPr>
              <w:spacing w:after="0" w:line="259" w:lineRule="auto"/>
              <w:ind w:left="0" w:firstLine="0"/>
            </w:pPr>
            <w:r>
              <w:rPr>
                <w:rFonts w:ascii="Calibri" w:eastAsia="Calibri" w:hAnsi="Calibri" w:cs="Calibri"/>
              </w:rPr>
              <w:t xml:space="preserve">NHS Consultant – Threshold 4 </w:t>
            </w:r>
          </w:p>
        </w:tc>
        <w:tc>
          <w:tcPr>
            <w:tcW w:w="1358" w:type="dxa"/>
            <w:tcBorders>
              <w:top w:val="single" w:sz="4" w:space="0" w:color="000000"/>
              <w:left w:val="single" w:sz="4" w:space="0" w:color="000000"/>
              <w:bottom w:val="single" w:sz="4" w:space="0" w:color="000000"/>
              <w:right w:val="single" w:sz="4" w:space="0" w:color="000000"/>
            </w:tcBorders>
          </w:tcPr>
          <w:p w14:paraId="3AFE228B" w14:textId="77777777" w:rsidR="002C26E2" w:rsidRDefault="00812CB4">
            <w:pPr>
              <w:spacing w:after="0" w:line="259" w:lineRule="auto"/>
              <w:ind w:left="0" w:right="44" w:firstLine="0"/>
              <w:jc w:val="right"/>
            </w:pPr>
            <w:r>
              <w:rPr>
                <w:rFonts w:ascii="Calibri" w:eastAsia="Calibri" w:hAnsi="Calibri" w:cs="Calibri"/>
              </w:rPr>
              <w:t xml:space="preserve">£145,478 </w:t>
            </w:r>
          </w:p>
        </w:tc>
      </w:tr>
      <w:tr w:rsidR="002C26E2" w14:paraId="401F9FD8" w14:textId="77777777">
        <w:trPr>
          <w:trHeight w:val="610"/>
        </w:trPr>
        <w:tc>
          <w:tcPr>
            <w:tcW w:w="4530" w:type="dxa"/>
            <w:tcBorders>
              <w:top w:val="single" w:sz="4" w:space="0" w:color="000000"/>
              <w:left w:val="single" w:sz="4" w:space="0" w:color="000000"/>
              <w:bottom w:val="single" w:sz="4" w:space="0" w:color="000000"/>
              <w:right w:val="single" w:sz="4" w:space="0" w:color="000000"/>
            </w:tcBorders>
          </w:tcPr>
          <w:p w14:paraId="46452BF9" w14:textId="77777777" w:rsidR="002C26E2" w:rsidRDefault="00812CB4">
            <w:pPr>
              <w:spacing w:after="0" w:line="259" w:lineRule="auto"/>
              <w:ind w:left="0" w:firstLine="0"/>
            </w:pPr>
            <w:r>
              <w:rPr>
                <w:rFonts w:ascii="Calibri" w:eastAsia="Calibri" w:hAnsi="Calibri" w:cs="Calibri"/>
              </w:rPr>
              <w:t xml:space="preserve">NHS Consultant – Threshold 1 </w:t>
            </w:r>
          </w:p>
        </w:tc>
        <w:tc>
          <w:tcPr>
            <w:tcW w:w="1358" w:type="dxa"/>
            <w:tcBorders>
              <w:top w:val="single" w:sz="4" w:space="0" w:color="000000"/>
              <w:left w:val="single" w:sz="4" w:space="0" w:color="000000"/>
              <w:bottom w:val="single" w:sz="4" w:space="0" w:color="000000"/>
              <w:right w:val="single" w:sz="4" w:space="0" w:color="000000"/>
            </w:tcBorders>
          </w:tcPr>
          <w:p w14:paraId="66B4C612" w14:textId="77777777" w:rsidR="002C26E2" w:rsidRDefault="00812CB4">
            <w:pPr>
              <w:spacing w:after="0" w:line="259" w:lineRule="auto"/>
              <w:ind w:left="0" w:right="44" w:firstLine="0"/>
              <w:jc w:val="right"/>
            </w:pPr>
            <w:r>
              <w:rPr>
                <w:rFonts w:ascii="Calibri" w:eastAsia="Calibri" w:hAnsi="Calibri" w:cs="Calibri"/>
              </w:rPr>
              <w:t xml:space="preserve">£109,725 </w:t>
            </w:r>
          </w:p>
        </w:tc>
      </w:tr>
    </w:tbl>
    <w:p w14:paraId="00CB115F" w14:textId="77777777" w:rsidR="002C26E2" w:rsidRDefault="00812CB4">
      <w:pPr>
        <w:spacing w:after="152"/>
        <w:ind w:left="7" w:right="225"/>
      </w:pPr>
      <w:r>
        <w:t xml:space="preserve">If we were to take a mid-point between a County Court judge and the highest level of NHS Consultant at Threshold 4, that would give a figure of £166,610. </w:t>
      </w:r>
    </w:p>
    <w:p w14:paraId="09660CE2" w14:textId="77777777" w:rsidR="002C26E2" w:rsidRDefault="00812CB4">
      <w:pPr>
        <w:spacing w:after="193"/>
        <w:ind w:left="7" w:right="225"/>
      </w:pPr>
      <w:r>
        <w:t xml:space="preserve">Using the same methodology for the District Judge and the NHS Consultant at the lower level of Threshold 1, the figure would be £124,597. </w:t>
      </w:r>
    </w:p>
    <w:p w14:paraId="2B08E364" w14:textId="77777777" w:rsidR="002C26E2" w:rsidRDefault="00812CB4">
      <w:pPr>
        <w:spacing w:after="109" w:line="265" w:lineRule="auto"/>
        <w:ind w:left="7"/>
      </w:pPr>
      <w:r>
        <w:rPr>
          <w:u w:val="single" w:color="000000"/>
        </w:rPr>
        <w:t>Pension provision assumption</w:t>
      </w:r>
      <w:r>
        <w:t xml:space="preserve"> </w:t>
      </w:r>
    </w:p>
    <w:p w14:paraId="0F083588" w14:textId="77777777" w:rsidR="002C26E2" w:rsidRDefault="00812CB4">
      <w:pPr>
        <w:spacing w:after="276" w:line="259" w:lineRule="auto"/>
        <w:ind w:left="7" w:right="225"/>
      </w:pPr>
      <w:r>
        <w:t xml:space="preserve">We also want to consider a reasonable level of pension provision for barristers.  </w:t>
      </w:r>
    </w:p>
    <w:p w14:paraId="48FA5518" w14:textId="77777777" w:rsidR="002C26E2" w:rsidRDefault="00812CB4">
      <w:pPr>
        <w:spacing w:after="159" w:line="361" w:lineRule="auto"/>
        <w:ind w:left="7" w:right="225"/>
      </w:pPr>
      <w:r>
        <w:t xml:space="preserve">It is estimated that only around 20% of those who are self-employed currently </w:t>
      </w:r>
      <w:r>
        <w:t xml:space="preserve">contribute to a private pension. There is also a widely held view that there is a “half your age” rule that the percentage contribution should be half of your age at the time </w:t>
      </w:r>
      <w:r>
        <w:t xml:space="preserve">you make the contribution, leading to lower contributions by those who are younger, and the amounts increasing as you get older. Other experts believe an annual </w:t>
      </w:r>
      <w:r>
        <w:t xml:space="preserve">contribution of 15% over a career would provide for a “moderate” lifestyle in </w:t>
      </w:r>
      <w:r>
        <w:t xml:space="preserve">retirement. </w:t>
      </w:r>
    </w:p>
    <w:p w14:paraId="469F6222" w14:textId="77777777" w:rsidR="002C26E2" w:rsidRDefault="00812CB4">
      <w:pPr>
        <w:spacing w:after="193"/>
        <w:ind w:left="7" w:right="225"/>
      </w:pPr>
      <w:r>
        <w:t xml:space="preserve">As a result of the above, we believe 20% is a fair average for a private pension </w:t>
      </w:r>
      <w:r>
        <w:t xml:space="preserve">contribution by barristers and would comply with the “half your age” rule for barristers </w:t>
      </w:r>
      <w:r>
        <w:t xml:space="preserve">around 40 years of age, a not unreasonable mid-point in their career.  </w:t>
      </w:r>
    </w:p>
    <w:p w14:paraId="6B847D6D" w14:textId="77777777" w:rsidR="002C26E2" w:rsidRDefault="00812CB4">
      <w:pPr>
        <w:spacing w:after="349" w:line="265" w:lineRule="auto"/>
        <w:ind w:left="7"/>
      </w:pPr>
      <w:r>
        <w:rPr>
          <w:u w:val="single" w:color="000000"/>
        </w:rPr>
        <w:t>Illustrative Salary Calculations</w:t>
      </w:r>
      <w:r>
        <w:t xml:space="preserve"> </w:t>
      </w:r>
    </w:p>
    <w:p w14:paraId="54CCBEF3" w14:textId="77777777" w:rsidR="002C26E2" w:rsidRDefault="00812CB4">
      <w:pPr>
        <w:ind w:left="7" w:right="225"/>
      </w:pPr>
      <w:r>
        <w:t xml:space="preserve">We have taken the above salaries for the judiciary, the NHS consultants and the mid points noted, to calculate a potential hourly rate for barristers based on these salaries. These are shown in the table below. </w:t>
      </w:r>
    </w:p>
    <w:p w14:paraId="4DC64FF6" w14:textId="77777777" w:rsidR="002C26E2" w:rsidRDefault="00812CB4">
      <w:pPr>
        <w:ind w:left="7" w:right="225"/>
      </w:pPr>
      <w:r>
        <w:t xml:space="preserve">We have allocated the overheads that were provided by the CBA, at the level of junior and senior counsel. </w:t>
      </w:r>
    </w:p>
    <w:p w14:paraId="4BF6687C" w14:textId="77777777" w:rsidR="002C26E2" w:rsidRDefault="00812CB4">
      <w:pPr>
        <w:ind w:left="7" w:right="225"/>
      </w:pPr>
      <w:r>
        <w:t xml:space="preserve">The final factor to consider is the number of hours that counsel could expect to work in a typical year. In the absence of any evidence from the CBA on this point, we have used our own experience working in the professions, along with reasonable assumptions, </w:t>
      </w:r>
      <w:r>
        <w:t>to identify the ‘chargeable’ time that could be expected to be available.</w:t>
      </w:r>
      <w:r>
        <w:t xml:space="preserve"> </w:t>
      </w:r>
    </w:p>
    <w:p w14:paraId="471327E6" w14:textId="3387D472" w:rsidR="002C26E2" w:rsidRDefault="00812CB4">
      <w:pPr>
        <w:ind w:left="7" w:right="225"/>
      </w:pPr>
      <w:r>
        <w:t xml:space="preserve">We have taken a widely accepted 220 day working year (after removing weekends, statutory holidays and annual leave), applied a 7.5 hour working day, which gives 1,650 hours available to work (what is termed chargeable hours). However, we recognise that barristers, like all professions, require time for CPD and a reasonable level of administration. As such, we have allowed for 10% to cover this and the remaining 90% of chargeable time equates to 1,485 hours. As barristers are </w:t>
      </w:r>
      <w:r w:rsidR="00444ECE">
        <w:t>self-employed</w:t>
      </w:r>
      <w:r>
        <w:t xml:space="preserve"> and not running a practice, their level of administration will be lower than say a solicitors practice. We have used this figure of 1,485 hours in a year against which to allocate overheads and an assumed salary/pension. </w:t>
      </w:r>
    </w:p>
    <w:p w14:paraId="44EE8E00" w14:textId="77777777" w:rsidR="002C26E2" w:rsidRDefault="00812CB4">
      <w:pPr>
        <w:spacing w:after="0" w:line="259" w:lineRule="auto"/>
        <w:ind w:left="7" w:right="225"/>
      </w:pPr>
      <w:r>
        <w:t xml:space="preserve">After taking all the above factors into account, we have shown the comparisons in the table below: </w:t>
      </w:r>
    </w:p>
    <w:tbl>
      <w:tblPr>
        <w:tblStyle w:val="TableGrid"/>
        <w:tblW w:w="9490" w:type="dxa"/>
        <w:tblInd w:w="24" w:type="dxa"/>
        <w:tblCellMar>
          <w:top w:w="42" w:type="dxa"/>
          <w:left w:w="106" w:type="dxa"/>
          <w:bottom w:w="0" w:type="dxa"/>
          <w:right w:w="84" w:type="dxa"/>
        </w:tblCellMar>
        <w:tblLook w:val="04A0" w:firstRow="1" w:lastRow="0" w:firstColumn="1" w:lastColumn="0" w:noHBand="0" w:noVBand="1"/>
      </w:tblPr>
      <w:tblGrid>
        <w:gridCol w:w="2308"/>
        <w:gridCol w:w="1078"/>
        <w:gridCol w:w="1340"/>
        <w:gridCol w:w="1306"/>
        <w:gridCol w:w="1185"/>
        <w:gridCol w:w="1221"/>
        <w:gridCol w:w="1052"/>
      </w:tblGrid>
      <w:tr w:rsidR="002C26E2" w14:paraId="7EB568C5" w14:textId="77777777">
        <w:trPr>
          <w:trHeight w:val="857"/>
        </w:trPr>
        <w:tc>
          <w:tcPr>
            <w:tcW w:w="2309" w:type="dxa"/>
            <w:tcBorders>
              <w:top w:val="nil"/>
              <w:left w:val="single" w:sz="8" w:space="0" w:color="000000"/>
              <w:bottom w:val="single" w:sz="8" w:space="0" w:color="000000"/>
              <w:right w:val="single" w:sz="8" w:space="0" w:color="000000"/>
            </w:tcBorders>
            <w:shd w:val="clear" w:color="auto" w:fill="424996"/>
          </w:tcPr>
          <w:p w14:paraId="0ECA81FA" w14:textId="77777777" w:rsidR="002C26E2" w:rsidRDefault="00812CB4">
            <w:pPr>
              <w:spacing w:after="0" w:line="259" w:lineRule="auto"/>
              <w:ind w:left="0" w:firstLine="0"/>
            </w:pPr>
            <w:r>
              <w:rPr>
                <w:b/>
                <w:color w:val="FFFFFF"/>
                <w:sz w:val="20"/>
              </w:rPr>
              <w:t xml:space="preserve">   </w:t>
            </w:r>
          </w:p>
        </w:tc>
        <w:tc>
          <w:tcPr>
            <w:tcW w:w="1078" w:type="dxa"/>
            <w:tcBorders>
              <w:top w:val="nil"/>
              <w:left w:val="single" w:sz="8" w:space="0" w:color="000000"/>
              <w:bottom w:val="single" w:sz="8" w:space="0" w:color="000000"/>
              <w:right w:val="single" w:sz="8" w:space="0" w:color="000000"/>
            </w:tcBorders>
            <w:shd w:val="clear" w:color="auto" w:fill="424996"/>
          </w:tcPr>
          <w:p w14:paraId="09E8FD7C" w14:textId="77777777" w:rsidR="002C26E2" w:rsidRDefault="00812CB4">
            <w:pPr>
              <w:spacing w:after="99" w:line="259" w:lineRule="auto"/>
              <w:ind w:left="5" w:firstLine="0"/>
            </w:pPr>
            <w:r>
              <w:rPr>
                <w:b/>
                <w:color w:val="FFFFFF"/>
                <w:sz w:val="20"/>
              </w:rPr>
              <w:t xml:space="preserve">Base </w:t>
            </w:r>
          </w:p>
          <w:p w14:paraId="4A513139" w14:textId="77777777" w:rsidR="002C26E2" w:rsidRDefault="00812CB4">
            <w:pPr>
              <w:spacing w:after="0" w:line="259" w:lineRule="auto"/>
              <w:ind w:left="5" w:firstLine="0"/>
            </w:pPr>
            <w:r>
              <w:rPr>
                <w:b/>
                <w:color w:val="FFFFFF"/>
                <w:sz w:val="20"/>
              </w:rPr>
              <w:t xml:space="preserve">Salary  </w:t>
            </w:r>
          </w:p>
        </w:tc>
        <w:tc>
          <w:tcPr>
            <w:tcW w:w="1340" w:type="dxa"/>
            <w:tcBorders>
              <w:top w:val="nil"/>
              <w:left w:val="single" w:sz="8" w:space="0" w:color="000000"/>
              <w:bottom w:val="single" w:sz="8" w:space="0" w:color="000000"/>
              <w:right w:val="single" w:sz="8" w:space="0" w:color="000000"/>
            </w:tcBorders>
            <w:shd w:val="clear" w:color="auto" w:fill="424996"/>
          </w:tcPr>
          <w:p w14:paraId="27DA33DF" w14:textId="77777777" w:rsidR="002C26E2" w:rsidRDefault="00812CB4">
            <w:pPr>
              <w:spacing w:after="99" w:line="259" w:lineRule="auto"/>
              <w:ind w:left="5" w:firstLine="0"/>
            </w:pPr>
            <w:r>
              <w:rPr>
                <w:b/>
                <w:color w:val="FFFFFF"/>
                <w:sz w:val="20"/>
              </w:rPr>
              <w:t xml:space="preserve">Allocated </w:t>
            </w:r>
          </w:p>
          <w:p w14:paraId="7904B585" w14:textId="77777777" w:rsidR="002C26E2" w:rsidRDefault="00812CB4">
            <w:pPr>
              <w:spacing w:after="0" w:line="259" w:lineRule="auto"/>
              <w:ind w:left="5" w:firstLine="0"/>
            </w:pPr>
            <w:r>
              <w:rPr>
                <w:b/>
                <w:color w:val="FFFFFF"/>
                <w:sz w:val="20"/>
              </w:rPr>
              <w:t xml:space="preserve">Overheads  </w:t>
            </w:r>
          </w:p>
        </w:tc>
        <w:tc>
          <w:tcPr>
            <w:tcW w:w="1306" w:type="dxa"/>
            <w:tcBorders>
              <w:top w:val="nil"/>
              <w:left w:val="single" w:sz="8" w:space="0" w:color="000000"/>
              <w:bottom w:val="single" w:sz="8" w:space="0" w:color="000000"/>
              <w:right w:val="single" w:sz="8" w:space="0" w:color="000000"/>
            </w:tcBorders>
            <w:shd w:val="clear" w:color="auto" w:fill="424996"/>
          </w:tcPr>
          <w:p w14:paraId="44B4A268" w14:textId="77777777" w:rsidR="002C26E2" w:rsidRDefault="00812CB4">
            <w:pPr>
              <w:spacing w:after="99" w:line="259" w:lineRule="auto"/>
              <w:ind w:left="5" w:firstLine="0"/>
            </w:pPr>
            <w:r>
              <w:rPr>
                <w:b/>
                <w:color w:val="FFFFFF"/>
                <w:sz w:val="20"/>
              </w:rPr>
              <w:t xml:space="preserve">Pension at </w:t>
            </w:r>
          </w:p>
          <w:p w14:paraId="60C7499E" w14:textId="77777777" w:rsidR="002C26E2" w:rsidRDefault="00812CB4">
            <w:pPr>
              <w:spacing w:after="0" w:line="259" w:lineRule="auto"/>
              <w:ind w:left="5" w:firstLine="0"/>
            </w:pPr>
            <w:r>
              <w:rPr>
                <w:b/>
                <w:color w:val="FFFFFF"/>
                <w:sz w:val="20"/>
              </w:rPr>
              <w:t xml:space="preserve">20% </w:t>
            </w:r>
          </w:p>
        </w:tc>
        <w:tc>
          <w:tcPr>
            <w:tcW w:w="1185" w:type="dxa"/>
            <w:tcBorders>
              <w:top w:val="nil"/>
              <w:left w:val="single" w:sz="8" w:space="0" w:color="000000"/>
              <w:bottom w:val="single" w:sz="8" w:space="0" w:color="000000"/>
              <w:right w:val="single" w:sz="8" w:space="0" w:color="000000"/>
            </w:tcBorders>
            <w:shd w:val="clear" w:color="auto" w:fill="424996"/>
          </w:tcPr>
          <w:p w14:paraId="58602A6F" w14:textId="77777777" w:rsidR="002C26E2" w:rsidRDefault="00812CB4">
            <w:pPr>
              <w:spacing w:after="0" w:line="259" w:lineRule="auto"/>
              <w:ind w:left="0" w:right="18" w:firstLine="0"/>
              <w:jc w:val="center"/>
            </w:pPr>
            <w:r>
              <w:rPr>
                <w:b/>
                <w:color w:val="FFFFFF"/>
                <w:sz w:val="20"/>
              </w:rPr>
              <w:t xml:space="preserve">Total </w:t>
            </w:r>
          </w:p>
        </w:tc>
        <w:tc>
          <w:tcPr>
            <w:tcW w:w="1221" w:type="dxa"/>
            <w:tcBorders>
              <w:top w:val="nil"/>
              <w:left w:val="single" w:sz="8" w:space="0" w:color="000000"/>
              <w:bottom w:val="single" w:sz="8" w:space="0" w:color="000000"/>
              <w:right w:val="single" w:sz="8" w:space="0" w:color="000000"/>
            </w:tcBorders>
            <w:shd w:val="clear" w:color="auto" w:fill="424996"/>
          </w:tcPr>
          <w:p w14:paraId="7C48BDB6" w14:textId="77777777" w:rsidR="002C26E2" w:rsidRDefault="00812CB4">
            <w:pPr>
              <w:spacing w:after="99" w:line="259" w:lineRule="auto"/>
              <w:ind w:left="104" w:firstLine="0"/>
            </w:pPr>
            <w:r>
              <w:rPr>
                <w:b/>
                <w:color w:val="FFFFFF"/>
                <w:sz w:val="20"/>
              </w:rPr>
              <w:t xml:space="preserve">Working </w:t>
            </w:r>
          </w:p>
          <w:p w14:paraId="0DA2E3B6" w14:textId="77777777" w:rsidR="002C26E2" w:rsidRDefault="00812CB4">
            <w:pPr>
              <w:spacing w:after="0" w:line="259" w:lineRule="auto"/>
              <w:ind w:left="0" w:right="21" w:firstLine="0"/>
              <w:jc w:val="center"/>
            </w:pPr>
            <w:r>
              <w:rPr>
                <w:b/>
                <w:color w:val="FFFFFF"/>
                <w:sz w:val="20"/>
              </w:rPr>
              <w:t xml:space="preserve">Hours  </w:t>
            </w:r>
          </w:p>
        </w:tc>
        <w:tc>
          <w:tcPr>
            <w:tcW w:w="1052" w:type="dxa"/>
            <w:tcBorders>
              <w:top w:val="nil"/>
              <w:left w:val="single" w:sz="8" w:space="0" w:color="000000"/>
              <w:bottom w:val="single" w:sz="8" w:space="0" w:color="000000"/>
              <w:right w:val="single" w:sz="8" w:space="0" w:color="000000"/>
            </w:tcBorders>
            <w:shd w:val="clear" w:color="auto" w:fill="424996"/>
          </w:tcPr>
          <w:p w14:paraId="3D066282" w14:textId="77777777" w:rsidR="002C26E2" w:rsidRDefault="00812CB4">
            <w:pPr>
              <w:spacing w:after="99" w:line="259" w:lineRule="auto"/>
              <w:ind w:left="0" w:right="16" w:firstLine="0"/>
              <w:jc w:val="center"/>
            </w:pPr>
            <w:r>
              <w:rPr>
                <w:b/>
                <w:color w:val="FFFFFF"/>
                <w:sz w:val="20"/>
              </w:rPr>
              <w:t xml:space="preserve">Hourly </w:t>
            </w:r>
          </w:p>
          <w:p w14:paraId="38FDE134" w14:textId="77777777" w:rsidR="002C26E2" w:rsidRDefault="00812CB4">
            <w:pPr>
              <w:spacing w:after="0" w:line="259" w:lineRule="auto"/>
              <w:ind w:left="0" w:right="18" w:firstLine="0"/>
              <w:jc w:val="center"/>
            </w:pPr>
            <w:r>
              <w:rPr>
                <w:b/>
                <w:color w:val="FFFFFF"/>
                <w:sz w:val="20"/>
              </w:rPr>
              <w:t xml:space="preserve">Rate </w:t>
            </w:r>
          </w:p>
        </w:tc>
      </w:tr>
      <w:tr w:rsidR="002C26E2" w14:paraId="0BB429AD" w14:textId="77777777">
        <w:trPr>
          <w:trHeight w:val="874"/>
        </w:trPr>
        <w:tc>
          <w:tcPr>
            <w:tcW w:w="2309" w:type="dxa"/>
            <w:tcBorders>
              <w:top w:val="single" w:sz="8" w:space="0" w:color="000000"/>
              <w:left w:val="single" w:sz="8" w:space="0" w:color="000000"/>
              <w:bottom w:val="single" w:sz="8" w:space="0" w:color="000000"/>
              <w:right w:val="single" w:sz="8" w:space="0" w:color="000000"/>
            </w:tcBorders>
          </w:tcPr>
          <w:p w14:paraId="10814874" w14:textId="77777777" w:rsidR="002C26E2" w:rsidRDefault="00812CB4">
            <w:pPr>
              <w:spacing w:after="96" w:line="259" w:lineRule="auto"/>
              <w:ind w:left="0" w:firstLine="0"/>
            </w:pPr>
            <w:proofErr w:type="spellStart"/>
            <w:r>
              <w:rPr>
                <w:sz w:val="20"/>
              </w:rPr>
              <w:t>Mid Point</w:t>
            </w:r>
            <w:proofErr w:type="spellEnd"/>
            <w:r>
              <w:rPr>
                <w:sz w:val="20"/>
              </w:rPr>
              <w:t xml:space="preserve"> CC Judge &amp; </w:t>
            </w:r>
          </w:p>
          <w:p w14:paraId="4AC5396C" w14:textId="77777777" w:rsidR="002C26E2" w:rsidRDefault="00812CB4">
            <w:pPr>
              <w:spacing w:after="0" w:line="259" w:lineRule="auto"/>
              <w:ind w:left="0" w:firstLine="0"/>
            </w:pPr>
            <w:r>
              <w:rPr>
                <w:sz w:val="20"/>
              </w:rPr>
              <w:t xml:space="preserve">NHS Consultant 4 </w:t>
            </w:r>
          </w:p>
        </w:tc>
        <w:tc>
          <w:tcPr>
            <w:tcW w:w="1078" w:type="dxa"/>
            <w:tcBorders>
              <w:top w:val="single" w:sz="8" w:space="0" w:color="000000"/>
              <w:left w:val="single" w:sz="8" w:space="0" w:color="000000"/>
              <w:bottom w:val="single" w:sz="8" w:space="0" w:color="000000"/>
              <w:right w:val="single" w:sz="8" w:space="0" w:color="000000"/>
            </w:tcBorders>
          </w:tcPr>
          <w:p w14:paraId="0B38AF51" w14:textId="77777777" w:rsidR="002C26E2" w:rsidRDefault="00812CB4">
            <w:pPr>
              <w:spacing w:after="0" w:line="259" w:lineRule="auto"/>
              <w:ind w:left="72" w:firstLine="0"/>
            </w:pPr>
            <w:r>
              <w:rPr>
                <w:sz w:val="20"/>
              </w:rPr>
              <w:t xml:space="preserve">166,610 </w:t>
            </w:r>
          </w:p>
        </w:tc>
        <w:tc>
          <w:tcPr>
            <w:tcW w:w="1340" w:type="dxa"/>
            <w:tcBorders>
              <w:top w:val="single" w:sz="8" w:space="0" w:color="000000"/>
              <w:left w:val="single" w:sz="8" w:space="0" w:color="000000"/>
              <w:bottom w:val="single" w:sz="8" w:space="0" w:color="000000"/>
              <w:right w:val="single" w:sz="8" w:space="0" w:color="000000"/>
            </w:tcBorders>
          </w:tcPr>
          <w:p w14:paraId="18AA6A0E" w14:textId="77777777" w:rsidR="002C26E2" w:rsidRDefault="00812CB4">
            <w:pPr>
              <w:spacing w:after="0" w:line="259" w:lineRule="auto"/>
              <w:ind w:left="0" w:right="17" w:firstLine="0"/>
              <w:jc w:val="center"/>
            </w:pPr>
            <w:r>
              <w:rPr>
                <w:sz w:val="20"/>
              </w:rPr>
              <w:t xml:space="preserve">17,621 </w:t>
            </w:r>
          </w:p>
        </w:tc>
        <w:tc>
          <w:tcPr>
            <w:tcW w:w="1306" w:type="dxa"/>
            <w:tcBorders>
              <w:top w:val="single" w:sz="8" w:space="0" w:color="000000"/>
              <w:left w:val="single" w:sz="8" w:space="0" w:color="000000"/>
              <w:bottom w:val="single" w:sz="8" w:space="0" w:color="000000"/>
              <w:right w:val="single" w:sz="8" w:space="0" w:color="000000"/>
            </w:tcBorders>
          </w:tcPr>
          <w:p w14:paraId="5CB35454" w14:textId="77777777" w:rsidR="002C26E2" w:rsidRDefault="00812CB4">
            <w:pPr>
              <w:spacing w:after="0" w:line="259" w:lineRule="auto"/>
              <w:ind w:left="0" w:right="21" w:firstLine="0"/>
              <w:jc w:val="center"/>
            </w:pPr>
            <w:r>
              <w:rPr>
                <w:sz w:val="20"/>
              </w:rPr>
              <w:t xml:space="preserve">33,322 </w:t>
            </w:r>
          </w:p>
        </w:tc>
        <w:tc>
          <w:tcPr>
            <w:tcW w:w="1185" w:type="dxa"/>
            <w:tcBorders>
              <w:top w:val="single" w:sz="8" w:space="0" w:color="000000"/>
              <w:left w:val="single" w:sz="8" w:space="0" w:color="000000"/>
              <w:bottom w:val="single" w:sz="8" w:space="0" w:color="000000"/>
              <w:right w:val="single" w:sz="8" w:space="0" w:color="000000"/>
            </w:tcBorders>
          </w:tcPr>
          <w:p w14:paraId="66B71206" w14:textId="77777777" w:rsidR="002C26E2" w:rsidRDefault="00812CB4">
            <w:pPr>
              <w:spacing w:after="0" w:line="259" w:lineRule="auto"/>
              <w:ind w:left="0" w:right="20" w:firstLine="0"/>
              <w:jc w:val="center"/>
            </w:pPr>
            <w:r>
              <w:rPr>
                <w:sz w:val="20"/>
              </w:rPr>
              <w:t xml:space="preserve">217,553 </w:t>
            </w:r>
          </w:p>
        </w:tc>
        <w:tc>
          <w:tcPr>
            <w:tcW w:w="1221" w:type="dxa"/>
            <w:tcBorders>
              <w:top w:val="single" w:sz="8" w:space="0" w:color="000000"/>
              <w:left w:val="single" w:sz="8" w:space="0" w:color="000000"/>
              <w:bottom w:val="single" w:sz="8" w:space="0" w:color="000000"/>
              <w:right w:val="single" w:sz="8" w:space="0" w:color="000000"/>
            </w:tcBorders>
          </w:tcPr>
          <w:p w14:paraId="183B6585"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39B26407" w14:textId="77777777" w:rsidR="002C26E2" w:rsidRDefault="00812CB4">
            <w:pPr>
              <w:spacing w:after="0" w:line="259" w:lineRule="auto"/>
              <w:ind w:left="0" w:right="18" w:firstLine="0"/>
              <w:jc w:val="center"/>
            </w:pPr>
            <w:r>
              <w:rPr>
                <w:sz w:val="20"/>
              </w:rPr>
              <w:t xml:space="preserve">146.50 </w:t>
            </w:r>
          </w:p>
        </w:tc>
      </w:tr>
      <w:tr w:rsidR="002C26E2" w14:paraId="4A875AB0" w14:textId="77777777">
        <w:trPr>
          <w:trHeight w:val="1214"/>
        </w:trPr>
        <w:tc>
          <w:tcPr>
            <w:tcW w:w="2309" w:type="dxa"/>
            <w:tcBorders>
              <w:top w:val="single" w:sz="8" w:space="0" w:color="000000"/>
              <w:left w:val="single" w:sz="8" w:space="0" w:color="000000"/>
              <w:bottom w:val="single" w:sz="8" w:space="0" w:color="000000"/>
              <w:right w:val="single" w:sz="8" w:space="0" w:color="000000"/>
            </w:tcBorders>
          </w:tcPr>
          <w:p w14:paraId="19AF901E" w14:textId="77777777" w:rsidR="002C26E2" w:rsidRDefault="00812CB4">
            <w:pPr>
              <w:spacing w:after="98" w:line="259" w:lineRule="auto"/>
              <w:ind w:left="0" w:firstLine="0"/>
            </w:pPr>
            <w:proofErr w:type="spellStart"/>
            <w:r>
              <w:rPr>
                <w:sz w:val="20"/>
              </w:rPr>
              <w:t>Mid Point</w:t>
            </w:r>
            <w:proofErr w:type="spellEnd"/>
            <w:r>
              <w:rPr>
                <w:sz w:val="20"/>
              </w:rPr>
              <w:t xml:space="preserve"> District </w:t>
            </w:r>
          </w:p>
          <w:p w14:paraId="7F388033" w14:textId="77777777" w:rsidR="002C26E2" w:rsidRDefault="00812CB4">
            <w:pPr>
              <w:spacing w:after="96" w:line="259" w:lineRule="auto"/>
              <w:ind w:left="0" w:firstLine="0"/>
            </w:pPr>
            <w:r>
              <w:rPr>
                <w:sz w:val="20"/>
              </w:rPr>
              <w:t xml:space="preserve">Judge &amp; NHS </w:t>
            </w:r>
          </w:p>
          <w:p w14:paraId="359B124C" w14:textId="77777777" w:rsidR="002C26E2" w:rsidRDefault="00812CB4">
            <w:pPr>
              <w:spacing w:after="0" w:line="259" w:lineRule="auto"/>
              <w:ind w:left="0" w:firstLine="0"/>
            </w:pPr>
            <w:r>
              <w:rPr>
                <w:sz w:val="20"/>
              </w:rPr>
              <w:t>Consultant 1</w:t>
            </w:r>
            <w:r>
              <w:rPr>
                <w:b/>
                <w:sz w:val="20"/>
              </w:rPr>
              <w:t xml:space="preserve"> </w:t>
            </w:r>
          </w:p>
        </w:tc>
        <w:tc>
          <w:tcPr>
            <w:tcW w:w="1078" w:type="dxa"/>
            <w:tcBorders>
              <w:top w:val="single" w:sz="8" w:space="0" w:color="000000"/>
              <w:left w:val="single" w:sz="8" w:space="0" w:color="000000"/>
              <w:bottom w:val="single" w:sz="8" w:space="0" w:color="000000"/>
              <w:right w:val="single" w:sz="8" w:space="0" w:color="000000"/>
            </w:tcBorders>
          </w:tcPr>
          <w:p w14:paraId="1919CB7F" w14:textId="77777777" w:rsidR="002C26E2" w:rsidRDefault="00812CB4">
            <w:pPr>
              <w:spacing w:after="0" w:line="259" w:lineRule="auto"/>
              <w:ind w:left="72" w:firstLine="0"/>
            </w:pPr>
            <w:r>
              <w:rPr>
                <w:sz w:val="20"/>
              </w:rPr>
              <w:t xml:space="preserve">124,597 </w:t>
            </w:r>
          </w:p>
        </w:tc>
        <w:tc>
          <w:tcPr>
            <w:tcW w:w="1340" w:type="dxa"/>
            <w:tcBorders>
              <w:top w:val="single" w:sz="8" w:space="0" w:color="000000"/>
              <w:left w:val="single" w:sz="8" w:space="0" w:color="000000"/>
              <w:bottom w:val="single" w:sz="8" w:space="0" w:color="000000"/>
              <w:right w:val="single" w:sz="8" w:space="0" w:color="000000"/>
            </w:tcBorders>
          </w:tcPr>
          <w:p w14:paraId="0DA09178" w14:textId="77777777" w:rsidR="002C26E2" w:rsidRDefault="00812CB4">
            <w:pPr>
              <w:spacing w:after="0" w:line="259" w:lineRule="auto"/>
              <w:ind w:left="0" w:right="17" w:firstLine="0"/>
              <w:jc w:val="center"/>
            </w:pPr>
            <w:r>
              <w:rPr>
                <w:sz w:val="20"/>
              </w:rPr>
              <w:t xml:space="preserve">12,220 </w:t>
            </w:r>
          </w:p>
        </w:tc>
        <w:tc>
          <w:tcPr>
            <w:tcW w:w="1306" w:type="dxa"/>
            <w:tcBorders>
              <w:top w:val="single" w:sz="8" w:space="0" w:color="000000"/>
              <w:left w:val="single" w:sz="8" w:space="0" w:color="000000"/>
              <w:bottom w:val="single" w:sz="8" w:space="0" w:color="000000"/>
              <w:right w:val="single" w:sz="8" w:space="0" w:color="000000"/>
            </w:tcBorders>
          </w:tcPr>
          <w:p w14:paraId="63F96343" w14:textId="77777777" w:rsidR="002C26E2" w:rsidRDefault="00812CB4">
            <w:pPr>
              <w:spacing w:after="0" w:line="259" w:lineRule="auto"/>
              <w:ind w:left="0" w:right="21" w:firstLine="0"/>
              <w:jc w:val="center"/>
            </w:pPr>
            <w:r>
              <w:rPr>
                <w:sz w:val="20"/>
              </w:rPr>
              <w:t xml:space="preserve">24,919 </w:t>
            </w:r>
          </w:p>
        </w:tc>
        <w:tc>
          <w:tcPr>
            <w:tcW w:w="1185" w:type="dxa"/>
            <w:tcBorders>
              <w:top w:val="single" w:sz="8" w:space="0" w:color="000000"/>
              <w:left w:val="single" w:sz="8" w:space="0" w:color="000000"/>
              <w:bottom w:val="single" w:sz="8" w:space="0" w:color="000000"/>
              <w:right w:val="single" w:sz="8" w:space="0" w:color="000000"/>
            </w:tcBorders>
          </w:tcPr>
          <w:p w14:paraId="7161E3CB" w14:textId="77777777" w:rsidR="002C26E2" w:rsidRDefault="00812CB4">
            <w:pPr>
              <w:spacing w:after="0" w:line="259" w:lineRule="auto"/>
              <w:ind w:left="0" w:right="20" w:firstLine="0"/>
              <w:jc w:val="center"/>
            </w:pPr>
            <w:r>
              <w:rPr>
                <w:sz w:val="20"/>
              </w:rPr>
              <w:t xml:space="preserve">161,736 </w:t>
            </w:r>
          </w:p>
        </w:tc>
        <w:tc>
          <w:tcPr>
            <w:tcW w:w="1221" w:type="dxa"/>
            <w:tcBorders>
              <w:top w:val="single" w:sz="8" w:space="0" w:color="000000"/>
              <w:left w:val="single" w:sz="8" w:space="0" w:color="000000"/>
              <w:bottom w:val="single" w:sz="8" w:space="0" w:color="000000"/>
              <w:right w:val="single" w:sz="8" w:space="0" w:color="000000"/>
            </w:tcBorders>
          </w:tcPr>
          <w:p w14:paraId="536CD682"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116E2B7F" w14:textId="77777777" w:rsidR="002C26E2" w:rsidRDefault="00812CB4">
            <w:pPr>
              <w:spacing w:after="0" w:line="259" w:lineRule="auto"/>
              <w:ind w:left="0" w:right="18" w:firstLine="0"/>
              <w:jc w:val="center"/>
            </w:pPr>
            <w:r>
              <w:rPr>
                <w:sz w:val="20"/>
              </w:rPr>
              <w:t xml:space="preserve">108.91 </w:t>
            </w:r>
          </w:p>
        </w:tc>
      </w:tr>
      <w:tr w:rsidR="002C26E2" w14:paraId="3FEA6BBE" w14:textId="77777777">
        <w:trPr>
          <w:trHeight w:val="869"/>
        </w:trPr>
        <w:tc>
          <w:tcPr>
            <w:tcW w:w="2309" w:type="dxa"/>
            <w:tcBorders>
              <w:top w:val="single" w:sz="8" w:space="0" w:color="000000"/>
              <w:left w:val="single" w:sz="8" w:space="0" w:color="000000"/>
              <w:bottom w:val="single" w:sz="8" w:space="0" w:color="000000"/>
              <w:right w:val="single" w:sz="8" w:space="0" w:color="000000"/>
            </w:tcBorders>
          </w:tcPr>
          <w:p w14:paraId="45AEEA94" w14:textId="77777777" w:rsidR="002C26E2" w:rsidRDefault="00812CB4">
            <w:pPr>
              <w:spacing w:after="98" w:line="259" w:lineRule="auto"/>
              <w:ind w:left="0" w:firstLine="0"/>
            </w:pPr>
            <w:r>
              <w:rPr>
                <w:sz w:val="20"/>
              </w:rPr>
              <w:t xml:space="preserve">NHS Consultant </w:t>
            </w:r>
            <w:r>
              <w:rPr>
                <w:sz w:val="20"/>
              </w:rPr>
              <w:t>–</w:t>
            </w:r>
            <w:r>
              <w:rPr>
                <w:sz w:val="20"/>
              </w:rPr>
              <w:t xml:space="preserve"> </w:t>
            </w:r>
          </w:p>
          <w:p w14:paraId="626A0508" w14:textId="77777777" w:rsidR="002C26E2" w:rsidRDefault="00812CB4">
            <w:pPr>
              <w:spacing w:after="0" w:line="259" w:lineRule="auto"/>
              <w:ind w:left="0" w:firstLine="0"/>
            </w:pPr>
            <w:r>
              <w:rPr>
                <w:sz w:val="20"/>
              </w:rPr>
              <w:t>Threshold 4</w:t>
            </w:r>
            <w:r>
              <w:rPr>
                <w:b/>
                <w:sz w:val="20"/>
              </w:rPr>
              <w:t xml:space="preserve"> </w:t>
            </w:r>
          </w:p>
        </w:tc>
        <w:tc>
          <w:tcPr>
            <w:tcW w:w="1078" w:type="dxa"/>
            <w:tcBorders>
              <w:top w:val="single" w:sz="8" w:space="0" w:color="000000"/>
              <w:left w:val="single" w:sz="8" w:space="0" w:color="000000"/>
              <w:bottom w:val="single" w:sz="8" w:space="0" w:color="000000"/>
              <w:right w:val="single" w:sz="8" w:space="0" w:color="000000"/>
            </w:tcBorders>
          </w:tcPr>
          <w:p w14:paraId="184FF8DF" w14:textId="77777777" w:rsidR="002C26E2" w:rsidRDefault="00812CB4">
            <w:pPr>
              <w:spacing w:after="0" w:line="259" w:lineRule="auto"/>
              <w:ind w:left="72" w:firstLine="0"/>
            </w:pPr>
            <w:r>
              <w:rPr>
                <w:sz w:val="20"/>
              </w:rPr>
              <w:t xml:space="preserve">145,478 </w:t>
            </w:r>
          </w:p>
        </w:tc>
        <w:tc>
          <w:tcPr>
            <w:tcW w:w="1340" w:type="dxa"/>
            <w:tcBorders>
              <w:top w:val="single" w:sz="8" w:space="0" w:color="000000"/>
              <w:left w:val="single" w:sz="8" w:space="0" w:color="000000"/>
              <w:bottom w:val="single" w:sz="8" w:space="0" w:color="000000"/>
              <w:right w:val="single" w:sz="8" w:space="0" w:color="000000"/>
            </w:tcBorders>
          </w:tcPr>
          <w:p w14:paraId="4F0B4B3E" w14:textId="77777777" w:rsidR="002C26E2" w:rsidRDefault="00812CB4">
            <w:pPr>
              <w:spacing w:after="0" w:line="259" w:lineRule="auto"/>
              <w:ind w:left="0" w:right="17" w:firstLine="0"/>
              <w:jc w:val="center"/>
            </w:pPr>
            <w:r>
              <w:rPr>
                <w:sz w:val="20"/>
              </w:rPr>
              <w:t xml:space="preserve">17,621 </w:t>
            </w:r>
          </w:p>
        </w:tc>
        <w:tc>
          <w:tcPr>
            <w:tcW w:w="1306" w:type="dxa"/>
            <w:tcBorders>
              <w:top w:val="single" w:sz="8" w:space="0" w:color="000000"/>
              <w:left w:val="single" w:sz="8" w:space="0" w:color="000000"/>
              <w:bottom w:val="single" w:sz="8" w:space="0" w:color="000000"/>
              <w:right w:val="single" w:sz="8" w:space="0" w:color="000000"/>
            </w:tcBorders>
          </w:tcPr>
          <w:p w14:paraId="7F526741" w14:textId="77777777" w:rsidR="002C26E2" w:rsidRDefault="00812CB4">
            <w:pPr>
              <w:spacing w:after="0" w:line="259" w:lineRule="auto"/>
              <w:ind w:left="0" w:right="21" w:firstLine="0"/>
              <w:jc w:val="center"/>
            </w:pPr>
            <w:r>
              <w:rPr>
                <w:sz w:val="20"/>
              </w:rPr>
              <w:t xml:space="preserve">29,096 </w:t>
            </w:r>
          </w:p>
        </w:tc>
        <w:tc>
          <w:tcPr>
            <w:tcW w:w="1185" w:type="dxa"/>
            <w:tcBorders>
              <w:top w:val="single" w:sz="8" w:space="0" w:color="000000"/>
              <w:left w:val="single" w:sz="8" w:space="0" w:color="000000"/>
              <w:bottom w:val="single" w:sz="8" w:space="0" w:color="000000"/>
              <w:right w:val="single" w:sz="8" w:space="0" w:color="000000"/>
            </w:tcBorders>
          </w:tcPr>
          <w:p w14:paraId="175031BC" w14:textId="77777777" w:rsidR="002C26E2" w:rsidRDefault="00812CB4">
            <w:pPr>
              <w:spacing w:after="0" w:line="259" w:lineRule="auto"/>
              <w:ind w:left="0" w:right="20" w:firstLine="0"/>
              <w:jc w:val="center"/>
            </w:pPr>
            <w:r>
              <w:rPr>
                <w:sz w:val="20"/>
              </w:rPr>
              <w:t xml:space="preserve">192,195 </w:t>
            </w:r>
          </w:p>
        </w:tc>
        <w:tc>
          <w:tcPr>
            <w:tcW w:w="1221" w:type="dxa"/>
            <w:tcBorders>
              <w:top w:val="single" w:sz="8" w:space="0" w:color="000000"/>
              <w:left w:val="single" w:sz="8" w:space="0" w:color="000000"/>
              <w:bottom w:val="single" w:sz="8" w:space="0" w:color="000000"/>
              <w:right w:val="single" w:sz="8" w:space="0" w:color="000000"/>
            </w:tcBorders>
          </w:tcPr>
          <w:p w14:paraId="7A90BC5B"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1D96DEB4" w14:textId="77777777" w:rsidR="002C26E2" w:rsidRDefault="00812CB4">
            <w:pPr>
              <w:spacing w:after="0" w:line="259" w:lineRule="auto"/>
              <w:ind w:left="0" w:right="18" w:firstLine="0"/>
              <w:jc w:val="center"/>
            </w:pPr>
            <w:r>
              <w:rPr>
                <w:sz w:val="20"/>
              </w:rPr>
              <w:t xml:space="preserve">129.42 </w:t>
            </w:r>
          </w:p>
        </w:tc>
      </w:tr>
      <w:tr w:rsidR="002C26E2" w14:paraId="29D3C8EA" w14:textId="77777777">
        <w:trPr>
          <w:trHeight w:val="871"/>
        </w:trPr>
        <w:tc>
          <w:tcPr>
            <w:tcW w:w="2309" w:type="dxa"/>
            <w:tcBorders>
              <w:top w:val="single" w:sz="8" w:space="0" w:color="000000"/>
              <w:left w:val="single" w:sz="8" w:space="0" w:color="000000"/>
              <w:bottom w:val="single" w:sz="8" w:space="0" w:color="000000"/>
              <w:right w:val="single" w:sz="8" w:space="0" w:color="000000"/>
            </w:tcBorders>
          </w:tcPr>
          <w:p w14:paraId="1F343563" w14:textId="77777777" w:rsidR="002C26E2" w:rsidRDefault="00812CB4">
            <w:pPr>
              <w:spacing w:after="96" w:line="259" w:lineRule="auto"/>
              <w:ind w:left="0" w:firstLine="0"/>
            </w:pPr>
            <w:r>
              <w:rPr>
                <w:sz w:val="20"/>
              </w:rPr>
              <w:t xml:space="preserve">NHS Consultant </w:t>
            </w:r>
            <w:r>
              <w:rPr>
                <w:sz w:val="20"/>
              </w:rPr>
              <w:t>–</w:t>
            </w:r>
            <w:r>
              <w:rPr>
                <w:sz w:val="20"/>
              </w:rPr>
              <w:t xml:space="preserve"> </w:t>
            </w:r>
          </w:p>
          <w:p w14:paraId="30F0D6E1" w14:textId="77777777" w:rsidR="002C26E2" w:rsidRDefault="00812CB4">
            <w:pPr>
              <w:spacing w:after="0" w:line="259" w:lineRule="auto"/>
              <w:ind w:left="0" w:firstLine="0"/>
            </w:pPr>
            <w:r>
              <w:rPr>
                <w:sz w:val="20"/>
              </w:rPr>
              <w:t>Threshold 1</w:t>
            </w:r>
            <w:r>
              <w:rPr>
                <w:b/>
                <w:sz w:val="20"/>
              </w:rPr>
              <w:t xml:space="preserve"> </w:t>
            </w:r>
          </w:p>
        </w:tc>
        <w:tc>
          <w:tcPr>
            <w:tcW w:w="1078" w:type="dxa"/>
            <w:tcBorders>
              <w:top w:val="single" w:sz="8" w:space="0" w:color="000000"/>
              <w:left w:val="single" w:sz="8" w:space="0" w:color="000000"/>
              <w:bottom w:val="single" w:sz="8" w:space="0" w:color="000000"/>
              <w:right w:val="single" w:sz="8" w:space="0" w:color="000000"/>
            </w:tcBorders>
          </w:tcPr>
          <w:p w14:paraId="22704D42" w14:textId="77777777" w:rsidR="002C26E2" w:rsidRDefault="00812CB4">
            <w:pPr>
              <w:spacing w:after="0" w:line="259" w:lineRule="auto"/>
              <w:ind w:left="72" w:firstLine="0"/>
            </w:pPr>
            <w:r>
              <w:rPr>
                <w:sz w:val="20"/>
              </w:rPr>
              <w:t xml:space="preserve">109,725 </w:t>
            </w:r>
          </w:p>
        </w:tc>
        <w:tc>
          <w:tcPr>
            <w:tcW w:w="1340" w:type="dxa"/>
            <w:tcBorders>
              <w:top w:val="single" w:sz="8" w:space="0" w:color="000000"/>
              <w:left w:val="single" w:sz="8" w:space="0" w:color="000000"/>
              <w:bottom w:val="single" w:sz="8" w:space="0" w:color="000000"/>
              <w:right w:val="single" w:sz="8" w:space="0" w:color="000000"/>
            </w:tcBorders>
          </w:tcPr>
          <w:p w14:paraId="49509672" w14:textId="77777777" w:rsidR="002C26E2" w:rsidRDefault="00812CB4">
            <w:pPr>
              <w:spacing w:after="0" w:line="259" w:lineRule="auto"/>
              <w:ind w:left="0" w:right="17" w:firstLine="0"/>
              <w:jc w:val="center"/>
            </w:pPr>
            <w:r>
              <w:rPr>
                <w:sz w:val="20"/>
              </w:rPr>
              <w:t xml:space="preserve">12,220 </w:t>
            </w:r>
          </w:p>
        </w:tc>
        <w:tc>
          <w:tcPr>
            <w:tcW w:w="1306" w:type="dxa"/>
            <w:tcBorders>
              <w:top w:val="single" w:sz="8" w:space="0" w:color="000000"/>
              <w:left w:val="single" w:sz="8" w:space="0" w:color="000000"/>
              <w:bottom w:val="single" w:sz="8" w:space="0" w:color="000000"/>
              <w:right w:val="single" w:sz="8" w:space="0" w:color="000000"/>
            </w:tcBorders>
          </w:tcPr>
          <w:p w14:paraId="33A87978" w14:textId="77777777" w:rsidR="002C26E2" w:rsidRDefault="00812CB4">
            <w:pPr>
              <w:spacing w:after="0" w:line="259" w:lineRule="auto"/>
              <w:ind w:left="0" w:right="21" w:firstLine="0"/>
              <w:jc w:val="center"/>
            </w:pPr>
            <w:r>
              <w:rPr>
                <w:sz w:val="20"/>
              </w:rPr>
              <w:t xml:space="preserve">21,945 </w:t>
            </w:r>
          </w:p>
        </w:tc>
        <w:tc>
          <w:tcPr>
            <w:tcW w:w="1185" w:type="dxa"/>
            <w:tcBorders>
              <w:top w:val="single" w:sz="8" w:space="0" w:color="000000"/>
              <w:left w:val="single" w:sz="8" w:space="0" w:color="000000"/>
              <w:bottom w:val="single" w:sz="8" w:space="0" w:color="000000"/>
              <w:right w:val="single" w:sz="8" w:space="0" w:color="000000"/>
            </w:tcBorders>
          </w:tcPr>
          <w:p w14:paraId="6148B334" w14:textId="77777777" w:rsidR="002C26E2" w:rsidRDefault="00812CB4">
            <w:pPr>
              <w:spacing w:after="0" w:line="259" w:lineRule="auto"/>
              <w:ind w:left="0" w:right="20" w:firstLine="0"/>
              <w:jc w:val="center"/>
            </w:pPr>
            <w:r>
              <w:rPr>
                <w:sz w:val="20"/>
              </w:rPr>
              <w:t xml:space="preserve">143,890 </w:t>
            </w:r>
          </w:p>
        </w:tc>
        <w:tc>
          <w:tcPr>
            <w:tcW w:w="1221" w:type="dxa"/>
            <w:tcBorders>
              <w:top w:val="single" w:sz="8" w:space="0" w:color="000000"/>
              <w:left w:val="single" w:sz="8" w:space="0" w:color="000000"/>
              <w:bottom w:val="single" w:sz="8" w:space="0" w:color="000000"/>
              <w:right w:val="single" w:sz="8" w:space="0" w:color="000000"/>
            </w:tcBorders>
          </w:tcPr>
          <w:p w14:paraId="3D0FBE16"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1FFC36EC" w14:textId="77777777" w:rsidR="002C26E2" w:rsidRDefault="00812CB4">
            <w:pPr>
              <w:spacing w:after="0" w:line="259" w:lineRule="auto"/>
              <w:ind w:left="0" w:right="18" w:firstLine="0"/>
              <w:jc w:val="center"/>
            </w:pPr>
            <w:r>
              <w:rPr>
                <w:sz w:val="20"/>
              </w:rPr>
              <w:t xml:space="preserve">96.90 </w:t>
            </w:r>
          </w:p>
        </w:tc>
      </w:tr>
      <w:tr w:rsidR="002C26E2" w14:paraId="143A2C18" w14:textId="77777777">
        <w:trPr>
          <w:trHeight w:val="869"/>
        </w:trPr>
        <w:tc>
          <w:tcPr>
            <w:tcW w:w="2309" w:type="dxa"/>
            <w:tcBorders>
              <w:top w:val="single" w:sz="8" w:space="0" w:color="000000"/>
              <w:left w:val="single" w:sz="8" w:space="0" w:color="000000"/>
              <w:bottom w:val="single" w:sz="8" w:space="0" w:color="000000"/>
              <w:right w:val="single" w:sz="8" w:space="0" w:color="000000"/>
            </w:tcBorders>
          </w:tcPr>
          <w:p w14:paraId="3CCF6FEE" w14:textId="77777777" w:rsidR="002C26E2" w:rsidRDefault="00812CB4">
            <w:pPr>
              <w:spacing w:after="98" w:line="259" w:lineRule="auto"/>
              <w:ind w:left="0" w:firstLine="0"/>
            </w:pPr>
            <w:r>
              <w:rPr>
                <w:sz w:val="20"/>
              </w:rPr>
              <w:t xml:space="preserve">County Court Judge </w:t>
            </w:r>
          </w:p>
          <w:p w14:paraId="7D05DCC4" w14:textId="77777777" w:rsidR="002C26E2" w:rsidRDefault="00812CB4">
            <w:pPr>
              <w:spacing w:after="0" w:line="259" w:lineRule="auto"/>
              <w:ind w:left="0" w:firstLine="0"/>
            </w:pPr>
            <w:r>
              <w:rPr>
                <w:sz w:val="20"/>
              </w:rPr>
              <w:t>(NI)</w:t>
            </w:r>
            <w:r>
              <w:rPr>
                <w:b/>
                <w:sz w:val="20"/>
              </w:rPr>
              <w:t xml:space="preserve"> </w:t>
            </w:r>
          </w:p>
        </w:tc>
        <w:tc>
          <w:tcPr>
            <w:tcW w:w="1078" w:type="dxa"/>
            <w:tcBorders>
              <w:top w:val="single" w:sz="8" w:space="0" w:color="000000"/>
              <w:left w:val="single" w:sz="8" w:space="0" w:color="000000"/>
              <w:bottom w:val="single" w:sz="8" w:space="0" w:color="000000"/>
              <w:right w:val="single" w:sz="8" w:space="0" w:color="000000"/>
            </w:tcBorders>
          </w:tcPr>
          <w:p w14:paraId="64F34D34" w14:textId="77777777" w:rsidR="002C26E2" w:rsidRDefault="00812CB4">
            <w:pPr>
              <w:spacing w:after="0" w:line="259" w:lineRule="auto"/>
              <w:ind w:left="72" w:firstLine="0"/>
            </w:pPr>
            <w:r>
              <w:rPr>
                <w:sz w:val="20"/>
              </w:rPr>
              <w:t xml:space="preserve">187,743 </w:t>
            </w:r>
          </w:p>
        </w:tc>
        <w:tc>
          <w:tcPr>
            <w:tcW w:w="1340" w:type="dxa"/>
            <w:tcBorders>
              <w:top w:val="single" w:sz="8" w:space="0" w:color="000000"/>
              <w:left w:val="single" w:sz="8" w:space="0" w:color="000000"/>
              <w:bottom w:val="single" w:sz="8" w:space="0" w:color="000000"/>
              <w:right w:val="single" w:sz="8" w:space="0" w:color="000000"/>
            </w:tcBorders>
          </w:tcPr>
          <w:p w14:paraId="64E5A36C" w14:textId="77777777" w:rsidR="002C26E2" w:rsidRDefault="00812CB4">
            <w:pPr>
              <w:spacing w:after="0" w:line="259" w:lineRule="auto"/>
              <w:ind w:left="0" w:right="17" w:firstLine="0"/>
              <w:jc w:val="center"/>
            </w:pPr>
            <w:r>
              <w:rPr>
                <w:sz w:val="20"/>
              </w:rPr>
              <w:t xml:space="preserve">17,621 </w:t>
            </w:r>
          </w:p>
        </w:tc>
        <w:tc>
          <w:tcPr>
            <w:tcW w:w="1306" w:type="dxa"/>
            <w:tcBorders>
              <w:top w:val="single" w:sz="8" w:space="0" w:color="000000"/>
              <w:left w:val="single" w:sz="8" w:space="0" w:color="000000"/>
              <w:bottom w:val="single" w:sz="8" w:space="0" w:color="000000"/>
              <w:right w:val="single" w:sz="8" w:space="0" w:color="000000"/>
            </w:tcBorders>
          </w:tcPr>
          <w:p w14:paraId="58BB56C7" w14:textId="77777777" w:rsidR="002C26E2" w:rsidRDefault="00812CB4">
            <w:pPr>
              <w:spacing w:after="0" w:line="259" w:lineRule="auto"/>
              <w:ind w:left="0" w:right="21" w:firstLine="0"/>
              <w:jc w:val="center"/>
            </w:pPr>
            <w:r>
              <w:rPr>
                <w:sz w:val="20"/>
              </w:rPr>
              <w:t xml:space="preserve">37,549 </w:t>
            </w:r>
          </w:p>
        </w:tc>
        <w:tc>
          <w:tcPr>
            <w:tcW w:w="1185" w:type="dxa"/>
            <w:tcBorders>
              <w:top w:val="single" w:sz="8" w:space="0" w:color="000000"/>
              <w:left w:val="single" w:sz="8" w:space="0" w:color="000000"/>
              <w:bottom w:val="single" w:sz="8" w:space="0" w:color="000000"/>
              <w:right w:val="single" w:sz="8" w:space="0" w:color="000000"/>
            </w:tcBorders>
          </w:tcPr>
          <w:p w14:paraId="25FCE364" w14:textId="77777777" w:rsidR="002C26E2" w:rsidRDefault="00812CB4">
            <w:pPr>
              <w:spacing w:after="0" w:line="259" w:lineRule="auto"/>
              <w:ind w:left="0" w:right="20" w:firstLine="0"/>
              <w:jc w:val="center"/>
            </w:pPr>
            <w:r>
              <w:rPr>
                <w:sz w:val="20"/>
              </w:rPr>
              <w:t xml:space="preserve">242,913 </w:t>
            </w:r>
          </w:p>
        </w:tc>
        <w:tc>
          <w:tcPr>
            <w:tcW w:w="1221" w:type="dxa"/>
            <w:tcBorders>
              <w:top w:val="single" w:sz="8" w:space="0" w:color="000000"/>
              <w:left w:val="single" w:sz="8" w:space="0" w:color="000000"/>
              <w:bottom w:val="single" w:sz="8" w:space="0" w:color="000000"/>
              <w:right w:val="single" w:sz="8" w:space="0" w:color="000000"/>
            </w:tcBorders>
          </w:tcPr>
          <w:p w14:paraId="71AC37A9"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76E04168" w14:textId="77777777" w:rsidR="002C26E2" w:rsidRDefault="00812CB4">
            <w:pPr>
              <w:spacing w:after="0" w:line="259" w:lineRule="auto"/>
              <w:ind w:left="0" w:right="18" w:firstLine="0"/>
              <w:jc w:val="center"/>
            </w:pPr>
            <w:r>
              <w:rPr>
                <w:sz w:val="20"/>
              </w:rPr>
              <w:t xml:space="preserve">163.58 </w:t>
            </w:r>
          </w:p>
        </w:tc>
      </w:tr>
      <w:tr w:rsidR="002C26E2" w14:paraId="388F1791" w14:textId="77777777">
        <w:trPr>
          <w:trHeight w:val="871"/>
        </w:trPr>
        <w:tc>
          <w:tcPr>
            <w:tcW w:w="2309" w:type="dxa"/>
            <w:tcBorders>
              <w:top w:val="single" w:sz="8" w:space="0" w:color="000000"/>
              <w:left w:val="single" w:sz="8" w:space="0" w:color="000000"/>
              <w:bottom w:val="single" w:sz="8" w:space="0" w:color="000000"/>
              <w:right w:val="single" w:sz="8" w:space="0" w:color="000000"/>
            </w:tcBorders>
          </w:tcPr>
          <w:p w14:paraId="16BA4B32" w14:textId="77777777" w:rsidR="002C26E2" w:rsidRDefault="00812CB4">
            <w:pPr>
              <w:spacing w:after="96" w:line="259" w:lineRule="auto"/>
              <w:ind w:left="0" w:firstLine="0"/>
            </w:pPr>
            <w:r>
              <w:rPr>
                <w:sz w:val="20"/>
              </w:rPr>
              <w:t xml:space="preserve">District Judge (MC) </w:t>
            </w:r>
          </w:p>
          <w:p w14:paraId="03E372AB" w14:textId="77777777" w:rsidR="002C26E2" w:rsidRDefault="00812CB4">
            <w:pPr>
              <w:spacing w:after="0" w:line="259" w:lineRule="auto"/>
              <w:ind w:left="0" w:firstLine="0"/>
            </w:pPr>
            <w:r>
              <w:rPr>
                <w:sz w:val="20"/>
              </w:rPr>
              <w:t>(NI)</w:t>
            </w:r>
            <w:r>
              <w:rPr>
                <w:b/>
                <w:sz w:val="20"/>
              </w:rPr>
              <w:t xml:space="preserve"> </w:t>
            </w:r>
          </w:p>
        </w:tc>
        <w:tc>
          <w:tcPr>
            <w:tcW w:w="1078" w:type="dxa"/>
            <w:tcBorders>
              <w:top w:val="single" w:sz="8" w:space="0" w:color="000000"/>
              <w:left w:val="single" w:sz="8" w:space="0" w:color="000000"/>
              <w:bottom w:val="single" w:sz="8" w:space="0" w:color="000000"/>
              <w:right w:val="single" w:sz="8" w:space="0" w:color="000000"/>
            </w:tcBorders>
          </w:tcPr>
          <w:p w14:paraId="47B2B1C2" w14:textId="77777777" w:rsidR="002C26E2" w:rsidRDefault="00812CB4">
            <w:pPr>
              <w:spacing w:after="0" w:line="259" w:lineRule="auto"/>
              <w:ind w:left="72" w:firstLine="0"/>
            </w:pPr>
            <w:r>
              <w:rPr>
                <w:sz w:val="20"/>
              </w:rPr>
              <w:t xml:space="preserve">139,469 </w:t>
            </w:r>
          </w:p>
        </w:tc>
        <w:tc>
          <w:tcPr>
            <w:tcW w:w="1340" w:type="dxa"/>
            <w:tcBorders>
              <w:top w:val="single" w:sz="8" w:space="0" w:color="000000"/>
              <w:left w:val="single" w:sz="8" w:space="0" w:color="000000"/>
              <w:bottom w:val="single" w:sz="8" w:space="0" w:color="000000"/>
              <w:right w:val="single" w:sz="8" w:space="0" w:color="000000"/>
            </w:tcBorders>
          </w:tcPr>
          <w:p w14:paraId="2D5A3CB0" w14:textId="77777777" w:rsidR="002C26E2" w:rsidRDefault="00812CB4">
            <w:pPr>
              <w:spacing w:after="0" w:line="259" w:lineRule="auto"/>
              <w:ind w:left="0" w:right="17" w:firstLine="0"/>
              <w:jc w:val="center"/>
            </w:pPr>
            <w:r>
              <w:rPr>
                <w:sz w:val="20"/>
              </w:rPr>
              <w:t xml:space="preserve">12,220 </w:t>
            </w:r>
          </w:p>
        </w:tc>
        <w:tc>
          <w:tcPr>
            <w:tcW w:w="1306" w:type="dxa"/>
            <w:tcBorders>
              <w:top w:val="single" w:sz="8" w:space="0" w:color="000000"/>
              <w:left w:val="single" w:sz="8" w:space="0" w:color="000000"/>
              <w:bottom w:val="single" w:sz="8" w:space="0" w:color="000000"/>
              <w:right w:val="single" w:sz="8" w:space="0" w:color="000000"/>
            </w:tcBorders>
          </w:tcPr>
          <w:p w14:paraId="79D70446" w14:textId="77777777" w:rsidR="002C26E2" w:rsidRDefault="00812CB4">
            <w:pPr>
              <w:spacing w:after="0" w:line="259" w:lineRule="auto"/>
              <w:ind w:left="0" w:right="21" w:firstLine="0"/>
              <w:jc w:val="center"/>
            </w:pPr>
            <w:r>
              <w:rPr>
                <w:sz w:val="20"/>
              </w:rPr>
              <w:t xml:space="preserve">27,894 </w:t>
            </w:r>
          </w:p>
        </w:tc>
        <w:tc>
          <w:tcPr>
            <w:tcW w:w="1185" w:type="dxa"/>
            <w:tcBorders>
              <w:top w:val="single" w:sz="8" w:space="0" w:color="000000"/>
              <w:left w:val="single" w:sz="8" w:space="0" w:color="000000"/>
              <w:bottom w:val="single" w:sz="8" w:space="0" w:color="000000"/>
              <w:right w:val="single" w:sz="8" w:space="0" w:color="000000"/>
            </w:tcBorders>
          </w:tcPr>
          <w:p w14:paraId="48CBF78D" w14:textId="77777777" w:rsidR="002C26E2" w:rsidRDefault="00812CB4">
            <w:pPr>
              <w:spacing w:after="0" w:line="259" w:lineRule="auto"/>
              <w:ind w:left="0" w:right="20" w:firstLine="0"/>
              <w:jc w:val="center"/>
            </w:pPr>
            <w:r>
              <w:rPr>
                <w:sz w:val="20"/>
              </w:rPr>
              <w:t xml:space="preserve">179,583 </w:t>
            </w:r>
          </w:p>
        </w:tc>
        <w:tc>
          <w:tcPr>
            <w:tcW w:w="1221" w:type="dxa"/>
            <w:tcBorders>
              <w:top w:val="single" w:sz="8" w:space="0" w:color="000000"/>
              <w:left w:val="single" w:sz="8" w:space="0" w:color="000000"/>
              <w:bottom w:val="single" w:sz="8" w:space="0" w:color="000000"/>
              <w:right w:val="single" w:sz="8" w:space="0" w:color="000000"/>
            </w:tcBorders>
          </w:tcPr>
          <w:p w14:paraId="53E4BB75" w14:textId="77777777" w:rsidR="002C26E2" w:rsidRDefault="00812CB4">
            <w:pPr>
              <w:spacing w:after="0" w:line="259" w:lineRule="auto"/>
              <w:ind w:left="0" w:right="26" w:firstLine="0"/>
              <w:jc w:val="center"/>
            </w:pPr>
            <w:r>
              <w:rPr>
                <w:sz w:val="20"/>
              </w:rPr>
              <w:t xml:space="preserve">1,485 </w:t>
            </w:r>
          </w:p>
        </w:tc>
        <w:tc>
          <w:tcPr>
            <w:tcW w:w="1052" w:type="dxa"/>
            <w:tcBorders>
              <w:top w:val="single" w:sz="8" w:space="0" w:color="000000"/>
              <w:left w:val="single" w:sz="8" w:space="0" w:color="000000"/>
              <w:bottom w:val="single" w:sz="8" w:space="0" w:color="000000"/>
              <w:right w:val="single" w:sz="8" w:space="0" w:color="000000"/>
            </w:tcBorders>
          </w:tcPr>
          <w:p w14:paraId="08F84C2D" w14:textId="77777777" w:rsidR="002C26E2" w:rsidRDefault="00812CB4">
            <w:pPr>
              <w:spacing w:after="0" w:line="259" w:lineRule="auto"/>
              <w:ind w:left="0" w:right="18" w:firstLine="0"/>
              <w:jc w:val="center"/>
            </w:pPr>
            <w:r>
              <w:rPr>
                <w:sz w:val="20"/>
              </w:rPr>
              <w:t xml:space="preserve">120.93 </w:t>
            </w:r>
          </w:p>
        </w:tc>
      </w:tr>
    </w:tbl>
    <w:p w14:paraId="6487D883" w14:textId="77777777" w:rsidR="002C26E2" w:rsidRDefault="00812CB4" w:rsidP="00444ECE">
      <w:pPr>
        <w:spacing w:after="120" w:line="259" w:lineRule="auto"/>
        <w:ind w:left="12" w:firstLine="0"/>
      </w:pPr>
      <w:r>
        <w:t xml:space="preserve"> </w:t>
      </w:r>
    </w:p>
    <w:p w14:paraId="4A89F454" w14:textId="77777777" w:rsidR="002C26E2" w:rsidRDefault="00812CB4">
      <w:pPr>
        <w:spacing w:after="169"/>
        <w:ind w:left="7" w:right="225"/>
      </w:pPr>
      <w:r>
        <w:t xml:space="preserve">In summary, we have used the following factors to calculate an average hourly rate for a barrister: </w:t>
      </w:r>
    </w:p>
    <w:p w14:paraId="296F1315" w14:textId="77777777" w:rsidR="002C26E2" w:rsidRDefault="00812CB4">
      <w:pPr>
        <w:numPr>
          <w:ilvl w:val="0"/>
          <w:numId w:val="41"/>
        </w:numPr>
        <w:spacing w:after="87" w:line="259" w:lineRule="auto"/>
        <w:ind w:right="225" w:hanging="360"/>
      </w:pPr>
      <w:r>
        <w:t xml:space="preserve">comparator salary anchors, </w:t>
      </w:r>
    </w:p>
    <w:p w14:paraId="253BDAEE" w14:textId="77777777" w:rsidR="002C26E2" w:rsidRDefault="00812CB4">
      <w:pPr>
        <w:numPr>
          <w:ilvl w:val="0"/>
          <w:numId w:val="41"/>
        </w:numPr>
        <w:spacing w:after="87" w:line="259" w:lineRule="auto"/>
        <w:ind w:right="225" w:hanging="360"/>
      </w:pPr>
      <w:r>
        <w:t xml:space="preserve">allocated overhead estimates, </w:t>
      </w:r>
    </w:p>
    <w:p w14:paraId="044AAF30" w14:textId="77777777" w:rsidR="002C26E2" w:rsidRDefault="00812CB4">
      <w:pPr>
        <w:numPr>
          <w:ilvl w:val="0"/>
          <w:numId w:val="41"/>
        </w:numPr>
        <w:spacing w:after="89" w:line="259" w:lineRule="auto"/>
        <w:ind w:right="225" w:hanging="360"/>
      </w:pPr>
      <w:r>
        <w:t xml:space="preserve">pension at 20%, and </w:t>
      </w:r>
    </w:p>
    <w:p w14:paraId="402F65EE" w14:textId="77777777" w:rsidR="002C26E2" w:rsidRDefault="00812CB4">
      <w:pPr>
        <w:numPr>
          <w:ilvl w:val="0"/>
          <w:numId w:val="41"/>
        </w:numPr>
        <w:spacing w:line="259" w:lineRule="auto"/>
        <w:ind w:right="225" w:hanging="360"/>
      </w:pPr>
      <w:r>
        <w:t xml:space="preserve">1,485 chargeable hours </w:t>
      </w:r>
    </w:p>
    <w:p w14:paraId="75663CB7" w14:textId="77777777" w:rsidR="002C26E2" w:rsidRDefault="00812CB4">
      <w:pPr>
        <w:ind w:left="7" w:right="225"/>
      </w:pPr>
      <w:r>
        <w:t xml:space="preserve">The model produces an hourly range in the table presented above, with the hourly rates noted as ranging between </w:t>
      </w:r>
      <w:r>
        <w:rPr>
          <w:b/>
        </w:rPr>
        <w:t>£96.90 and £163.58</w:t>
      </w:r>
      <w:r>
        <w:t xml:space="preserve">. </w:t>
      </w:r>
    </w:p>
    <w:p w14:paraId="6E342FD7" w14:textId="77777777" w:rsidR="002C26E2" w:rsidRDefault="00812CB4">
      <w:pPr>
        <w:pStyle w:val="Heading2"/>
        <w:ind w:left="849" w:right="200" w:hanging="852"/>
      </w:pPr>
      <w:bookmarkStart w:id="51" w:name="_Toc107589"/>
      <w:r>
        <w:rPr>
          <w:color w:val="004E9A"/>
          <w:sz w:val="28"/>
        </w:rPr>
        <w:t>C</w:t>
      </w:r>
      <w:r>
        <w:rPr>
          <w:color w:val="004E9A"/>
        </w:rPr>
        <w:t>ONCLUSIONS FROM THE ANALYSIS</w:t>
      </w:r>
      <w:r>
        <w:rPr>
          <w:color w:val="004E9A"/>
          <w:sz w:val="28"/>
        </w:rPr>
        <w:t xml:space="preserve"> </w:t>
      </w:r>
      <w:bookmarkEnd w:id="51"/>
    </w:p>
    <w:p w14:paraId="631C3294" w14:textId="77777777" w:rsidR="002C26E2" w:rsidRDefault="00812CB4">
      <w:pPr>
        <w:ind w:left="7" w:right="225"/>
      </w:pPr>
      <w:r>
        <w:t xml:space="preserve">We have considered that both the judiciary and NHS Consultants could be considered as the most appropriate comparators in terms of counsel hourly rates for EP. As such, we have based our recommendations on these rates. </w:t>
      </w:r>
    </w:p>
    <w:p w14:paraId="4BCD5220" w14:textId="77777777" w:rsidR="002C26E2" w:rsidRDefault="00812CB4">
      <w:pPr>
        <w:spacing w:line="259" w:lineRule="auto"/>
        <w:ind w:left="7" w:right="225"/>
      </w:pPr>
      <w:r>
        <w:t xml:space="preserve">Based on the evidence and modelling in this section: </w:t>
      </w:r>
    </w:p>
    <w:p w14:paraId="1ED460DB" w14:textId="77777777" w:rsidR="002C26E2" w:rsidRDefault="00812CB4">
      <w:pPr>
        <w:numPr>
          <w:ilvl w:val="0"/>
          <w:numId w:val="42"/>
        </w:numPr>
        <w:spacing w:after="111"/>
        <w:ind w:right="225" w:hanging="355"/>
      </w:pPr>
      <w:r>
        <w:t xml:space="preserve">A comparator-anchored, overhead-and-pension adjusted approach provides a </w:t>
      </w:r>
      <w:r>
        <w:rPr>
          <w:b/>
        </w:rPr>
        <w:t>stable and transparent</w:t>
      </w:r>
      <w:r>
        <w:t xml:space="preserve"> basis for hourly rate determination within an accelerated timetable. </w:t>
      </w:r>
    </w:p>
    <w:p w14:paraId="5494731F" w14:textId="77777777" w:rsidR="002C26E2" w:rsidRDefault="00812CB4">
      <w:pPr>
        <w:numPr>
          <w:ilvl w:val="0"/>
          <w:numId w:val="42"/>
        </w:numPr>
        <w:spacing w:after="111"/>
        <w:ind w:right="225" w:hanging="355"/>
      </w:pPr>
      <w:r>
        <w:t xml:space="preserve">The model yields a defensible range of hourly rates, rather than supporting a single large uplift without clear validation. </w:t>
      </w:r>
    </w:p>
    <w:p w14:paraId="5E1143A0" w14:textId="77777777" w:rsidR="002C26E2" w:rsidRDefault="00812CB4">
      <w:pPr>
        <w:numPr>
          <w:ilvl w:val="0"/>
          <w:numId w:val="42"/>
        </w:numPr>
        <w:spacing w:after="0"/>
        <w:ind w:right="225" w:hanging="355"/>
      </w:pPr>
      <w:r>
        <w:t xml:space="preserve">The Review Team therefore bases its recommendations on comparator positions as follows: </w:t>
      </w:r>
    </w:p>
    <w:p w14:paraId="575C4962" w14:textId="77777777" w:rsidR="002C26E2" w:rsidRDefault="00812CB4">
      <w:pPr>
        <w:numPr>
          <w:ilvl w:val="1"/>
          <w:numId w:val="42"/>
        </w:numPr>
        <w:spacing w:after="1"/>
        <w:ind w:right="225" w:hanging="360"/>
      </w:pPr>
      <w:r>
        <w:t xml:space="preserve">Senior Counsel rate anchored to a </w:t>
      </w:r>
      <w:r>
        <w:rPr>
          <w:b/>
        </w:rPr>
        <w:t>County Court Judge</w:t>
      </w:r>
      <w:r>
        <w:t xml:space="preserve"> comparator; </w:t>
      </w:r>
      <w:r>
        <w:rPr>
          <w:rFonts w:ascii="Courier New" w:eastAsia="Courier New" w:hAnsi="Courier New" w:cs="Courier New"/>
          <w:sz w:val="20"/>
        </w:rPr>
        <w:t>o</w:t>
      </w:r>
      <w:r>
        <w:rPr>
          <w:sz w:val="20"/>
        </w:rPr>
        <w:t xml:space="preserve"> </w:t>
      </w:r>
      <w:r>
        <w:t xml:space="preserve">Led Junior anchored to an </w:t>
      </w:r>
      <w:r>
        <w:rPr>
          <w:b/>
        </w:rPr>
        <w:t>NHS Consultant (Threshold 1)</w:t>
      </w:r>
      <w:r>
        <w:t xml:space="preserve"> comparator; and </w:t>
      </w:r>
    </w:p>
    <w:p w14:paraId="0A7822E6" w14:textId="77777777" w:rsidR="002C26E2" w:rsidRDefault="00812CB4">
      <w:pPr>
        <w:numPr>
          <w:ilvl w:val="1"/>
          <w:numId w:val="42"/>
        </w:numPr>
        <w:spacing w:after="447"/>
        <w:ind w:right="225" w:hanging="360"/>
      </w:pPr>
      <w:r>
        <w:t xml:space="preserve">Sole Junior anchored to the </w:t>
      </w:r>
      <w:r>
        <w:rPr>
          <w:b/>
        </w:rPr>
        <w:t>mid-point</w:t>
      </w:r>
      <w:r>
        <w:t xml:space="preserve"> between a District Judge and an NHS Consultant (Threshold 1). </w:t>
      </w:r>
    </w:p>
    <w:p w14:paraId="3DDF936B" w14:textId="77777777" w:rsidR="002C26E2" w:rsidRDefault="00812CB4">
      <w:pPr>
        <w:pStyle w:val="Heading2"/>
        <w:ind w:left="849" w:right="200" w:hanging="852"/>
      </w:pPr>
      <w:bookmarkStart w:id="52" w:name="_Toc107590"/>
      <w:r>
        <w:rPr>
          <w:color w:val="004E9A"/>
          <w:sz w:val="28"/>
        </w:rPr>
        <w:t>R</w:t>
      </w:r>
      <w:r>
        <w:rPr>
          <w:color w:val="004E9A"/>
        </w:rPr>
        <w:t xml:space="preserve">ECOMMENDATIONS </w:t>
      </w:r>
      <w:r>
        <w:rPr>
          <w:color w:val="004E9A"/>
          <w:sz w:val="28"/>
        </w:rPr>
        <w:t>(B</w:t>
      </w:r>
      <w:r>
        <w:rPr>
          <w:color w:val="004E9A"/>
        </w:rPr>
        <w:t xml:space="preserve">ARRISTERS </w:t>
      </w:r>
      <w:r>
        <w:rPr>
          <w:color w:val="004E9A"/>
          <w:sz w:val="28"/>
        </w:rPr>
        <w:t>–</w:t>
      </w:r>
      <w:r>
        <w:rPr>
          <w:color w:val="004E9A"/>
        </w:rPr>
        <w:t xml:space="preserve"> </w:t>
      </w:r>
      <w:r>
        <w:rPr>
          <w:color w:val="004E9A"/>
          <w:sz w:val="28"/>
        </w:rPr>
        <w:t>EP</w:t>
      </w:r>
      <w:r>
        <w:rPr>
          <w:color w:val="004E9A"/>
        </w:rPr>
        <w:t xml:space="preserve"> HOURLY RATES</w:t>
      </w:r>
      <w:r>
        <w:rPr>
          <w:color w:val="004E9A"/>
          <w:sz w:val="28"/>
        </w:rPr>
        <w:t xml:space="preserve">) </w:t>
      </w:r>
      <w:bookmarkEnd w:id="52"/>
    </w:p>
    <w:p w14:paraId="45273CBF" w14:textId="77777777" w:rsidR="002C26E2" w:rsidRDefault="00812CB4">
      <w:pPr>
        <w:spacing w:after="349" w:line="265" w:lineRule="auto"/>
        <w:ind w:left="7"/>
      </w:pPr>
      <w:r>
        <w:rPr>
          <w:u w:val="single" w:color="000000"/>
        </w:rPr>
        <w:t>Recommended EP hourly rates</w:t>
      </w:r>
      <w:r>
        <w:t xml:space="preserve"> </w:t>
      </w:r>
    </w:p>
    <w:p w14:paraId="0D52532A" w14:textId="77777777" w:rsidR="002C26E2" w:rsidRDefault="00812CB4">
      <w:pPr>
        <w:spacing w:after="0" w:line="259" w:lineRule="auto"/>
        <w:ind w:left="7" w:right="225"/>
      </w:pPr>
      <w:r>
        <w:t xml:space="preserve">The existing EP hourly rates (pre 16% uplift) and the proposed new hourly rates are set out in the table below.  </w:t>
      </w:r>
    </w:p>
    <w:tbl>
      <w:tblPr>
        <w:tblStyle w:val="TableGrid"/>
        <w:tblW w:w="9016" w:type="dxa"/>
        <w:tblInd w:w="18" w:type="dxa"/>
        <w:tblCellMar>
          <w:top w:w="47" w:type="dxa"/>
          <w:left w:w="107" w:type="dxa"/>
          <w:bottom w:w="0" w:type="dxa"/>
          <w:right w:w="115" w:type="dxa"/>
        </w:tblCellMar>
        <w:tblLook w:val="04A0" w:firstRow="1" w:lastRow="0" w:firstColumn="1" w:lastColumn="0" w:noHBand="0" w:noVBand="1"/>
      </w:tblPr>
      <w:tblGrid>
        <w:gridCol w:w="2415"/>
        <w:gridCol w:w="2307"/>
        <w:gridCol w:w="2149"/>
        <w:gridCol w:w="2145"/>
      </w:tblGrid>
      <w:tr w:rsidR="002C26E2" w14:paraId="49DD5B6B" w14:textId="77777777">
        <w:trPr>
          <w:trHeight w:val="1201"/>
        </w:trPr>
        <w:tc>
          <w:tcPr>
            <w:tcW w:w="2416" w:type="dxa"/>
            <w:tcBorders>
              <w:top w:val="single" w:sz="4" w:space="0" w:color="000000"/>
              <w:left w:val="single" w:sz="4" w:space="0" w:color="000000"/>
              <w:bottom w:val="single" w:sz="4" w:space="0" w:color="000000"/>
              <w:right w:val="single" w:sz="4" w:space="0" w:color="000000"/>
            </w:tcBorders>
            <w:shd w:val="clear" w:color="auto" w:fill="424996"/>
          </w:tcPr>
          <w:p w14:paraId="2A4D3BB0" w14:textId="77777777" w:rsidR="002C26E2" w:rsidRDefault="00812CB4">
            <w:pPr>
              <w:spacing w:after="0" w:line="259" w:lineRule="auto"/>
              <w:ind w:left="0" w:firstLine="0"/>
            </w:pPr>
            <w:r>
              <w:rPr>
                <w:color w:val="FFFFFF"/>
                <w:sz w:val="20"/>
              </w:rPr>
              <w:t xml:space="preserve"> </w:t>
            </w:r>
          </w:p>
        </w:tc>
        <w:tc>
          <w:tcPr>
            <w:tcW w:w="2307" w:type="dxa"/>
            <w:tcBorders>
              <w:top w:val="single" w:sz="4" w:space="0" w:color="000000"/>
              <w:left w:val="single" w:sz="4" w:space="0" w:color="000000"/>
              <w:bottom w:val="single" w:sz="4" w:space="0" w:color="000000"/>
              <w:right w:val="single" w:sz="4" w:space="0" w:color="000000"/>
            </w:tcBorders>
            <w:shd w:val="clear" w:color="auto" w:fill="424996"/>
          </w:tcPr>
          <w:p w14:paraId="6FF7A913" w14:textId="77777777" w:rsidR="002C26E2" w:rsidRDefault="00812CB4">
            <w:pPr>
              <w:spacing w:after="0" w:line="259" w:lineRule="auto"/>
              <w:ind w:left="1" w:firstLine="0"/>
            </w:pPr>
            <w:r>
              <w:rPr>
                <w:color w:val="FFFFFF"/>
                <w:sz w:val="20"/>
              </w:rPr>
              <w:t xml:space="preserve">Existing EP Hourly Rate (before 16% increase) </w:t>
            </w:r>
          </w:p>
        </w:tc>
        <w:tc>
          <w:tcPr>
            <w:tcW w:w="2149" w:type="dxa"/>
            <w:tcBorders>
              <w:top w:val="single" w:sz="4" w:space="0" w:color="000000"/>
              <w:left w:val="single" w:sz="4" w:space="0" w:color="000000"/>
              <w:bottom w:val="single" w:sz="4" w:space="0" w:color="000000"/>
              <w:right w:val="single" w:sz="4" w:space="0" w:color="000000"/>
            </w:tcBorders>
            <w:shd w:val="clear" w:color="auto" w:fill="424996"/>
          </w:tcPr>
          <w:p w14:paraId="0B1E2B73" w14:textId="77777777" w:rsidR="002C26E2" w:rsidRDefault="00812CB4">
            <w:pPr>
              <w:spacing w:after="96" w:line="259" w:lineRule="auto"/>
              <w:ind w:left="1" w:firstLine="0"/>
            </w:pPr>
            <w:r>
              <w:rPr>
                <w:color w:val="FFFFFF"/>
                <w:sz w:val="20"/>
              </w:rPr>
              <w:t xml:space="preserve">Proposed New EP </w:t>
            </w:r>
          </w:p>
          <w:p w14:paraId="1F75A3D6" w14:textId="77777777" w:rsidR="002C26E2" w:rsidRDefault="00812CB4">
            <w:pPr>
              <w:spacing w:after="0" w:line="259" w:lineRule="auto"/>
              <w:ind w:left="1" w:firstLine="0"/>
            </w:pPr>
            <w:r>
              <w:rPr>
                <w:color w:val="FFFFFF"/>
                <w:sz w:val="20"/>
              </w:rPr>
              <w:t xml:space="preserve">Hourly Rate </w:t>
            </w:r>
          </w:p>
        </w:tc>
        <w:tc>
          <w:tcPr>
            <w:tcW w:w="2145" w:type="dxa"/>
            <w:tcBorders>
              <w:top w:val="single" w:sz="4" w:space="0" w:color="000000"/>
              <w:left w:val="single" w:sz="4" w:space="0" w:color="000000"/>
              <w:bottom w:val="single" w:sz="4" w:space="0" w:color="000000"/>
              <w:right w:val="single" w:sz="4" w:space="0" w:color="000000"/>
            </w:tcBorders>
            <w:shd w:val="clear" w:color="auto" w:fill="424996"/>
          </w:tcPr>
          <w:p w14:paraId="7F1B0009" w14:textId="77777777" w:rsidR="002C26E2" w:rsidRDefault="00812CB4">
            <w:pPr>
              <w:spacing w:after="0" w:line="259" w:lineRule="auto"/>
              <w:ind w:left="1" w:firstLine="0"/>
            </w:pPr>
            <w:r>
              <w:rPr>
                <w:color w:val="FFFFFF"/>
                <w:sz w:val="20"/>
              </w:rPr>
              <w:t xml:space="preserve">Percentage Increase </w:t>
            </w:r>
          </w:p>
        </w:tc>
      </w:tr>
      <w:tr w:rsidR="002C26E2" w14:paraId="373E48F6" w14:textId="77777777">
        <w:trPr>
          <w:trHeight w:val="517"/>
        </w:trPr>
        <w:tc>
          <w:tcPr>
            <w:tcW w:w="2416" w:type="dxa"/>
            <w:tcBorders>
              <w:top w:val="single" w:sz="4" w:space="0" w:color="000000"/>
              <w:left w:val="single" w:sz="4" w:space="0" w:color="000000"/>
              <w:bottom w:val="single" w:sz="4" w:space="0" w:color="000000"/>
              <w:right w:val="single" w:sz="4" w:space="0" w:color="000000"/>
            </w:tcBorders>
          </w:tcPr>
          <w:p w14:paraId="4C090557" w14:textId="77777777" w:rsidR="002C26E2" w:rsidRDefault="00812CB4">
            <w:pPr>
              <w:spacing w:after="0" w:line="259" w:lineRule="auto"/>
              <w:ind w:left="0" w:firstLine="0"/>
            </w:pPr>
            <w:r>
              <w:rPr>
                <w:sz w:val="20"/>
              </w:rPr>
              <w:t xml:space="preserve">Senior Counsel </w:t>
            </w:r>
          </w:p>
        </w:tc>
        <w:tc>
          <w:tcPr>
            <w:tcW w:w="2307" w:type="dxa"/>
            <w:tcBorders>
              <w:top w:val="single" w:sz="4" w:space="0" w:color="000000"/>
              <w:left w:val="single" w:sz="4" w:space="0" w:color="000000"/>
              <w:bottom w:val="single" w:sz="4" w:space="0" w:color="000000"/>
              <w:right w:val="single" w:sz="4" w:space="0" w:color="000000"/>
            </w:tcBorders>
          </w:tcPr>
          <w:p w14:paraId="111EC2E9" w14:textId="77777777" w:rsidR="002C26E2" w:rsidRDefault="00812CB4">
            <w:pPr>
              <w:spacing w:after="0" w:line="259" w:lineRule="auto"/>
              <w:ind w:left="1" w:firstLine="0"/>
            </w:pPr>
            <w:r>
              <w:rPr>
                <w:sz w:val="20"/>
              </w:rPr>
              <w:t xml:space="preserve">£130 </w:t>
            </w:r>
          </w:p>
        </w:tc>
        <w:tc>
          <w:tcPr>
            <w:tcW w:w="2149" w:type="dxa"/>
            <w:tcBorders>
              <w:top w:val="single" w:sz="4" w:space="0" w:color="000000"/>
              <w:left w:val="single" w:sz="4" w:space="0" w:color="000000"/>
              <w:bottom w:val="single" w:sz="4" w:space="0" w:color="000000"/>
              <w:right w:val="single" w:sz="4" w:space="0" w:color="000000"/>
            </w:tcBorders>
          </w:tcPr>
          <w:p w14:paraId="64281220" w14:textId="77777777" w:rsidR="002C26E2" w:rsidRDefault="00812CB4">
            <w:pPr>
              <w:spacing w:after="0" w:line="259" w:lineRule="auto"/>
              <w:ind w:left="1" w:firstLine="0"/>
            </w:pPr>
            <w:r>
              <w:rPr>
                <w:sz w:val="20"/>
              </w:rPr>
              <w:t xml:space="preserve">£164 </w:t>
            </w:r>
          </w:p>
        </w:tc>
        <w:tc>
          <w:tcPr>
            <w:tcW w:w="2145" w:type="dxa"/>
            <w:tcBorders>
              <w:top w:val="single" w:sz="4" w:space="0" w:color="000000"/>
              <w:left w:val="single" w:sz="4" w:space="0" w:color="000000"/>
              <w:bottom w:val="single" w:sz="4" w:space="0" w:color="000000"/>
              <w:right w:val="single" w:sz="4" w:space="0" w:color="000000"/>
            </w:tcBorders>
          </w:tcPr>
          <w:p w14:paraId="704C3947" w14:textId="77777777" w:rsidR="002C26E2" w:rsidRDefault="00812CB4">
            <w:pPr>
              <w:spacing w:after="0" w:line="259" w:lineRule="auto"/>
              <w:ind w:left="1" w:firstLine="0"/>
            </w:pPr>
            <w:r>
              <w:rPr>
                <w:sz w:val="20"/>
              </w:rPr>
              <w:t xml:space="preserve">26.1% </w:t>
            </w:r>
          </w:p>
        </w:tc>
      </w:tr>
      <w:tr w:rsidR="002C26E2" w14:paraId="08E96658" w14:textId="77777777">
        <w:trPr>
          <w:trHeight w:val="516"/>
        </w:trPr>
        <w:tc>
          <w:tcPr>
            <w:tcW w:w="2416" w:type="dxa"/>
            <w:tcBorders>
              <w:top w:val="single" w:sz="4" w:space="0" w:color="000000"/>
              <w:left w:val="single" w:sz="4" w:space="0" w:color="000000"/>
              <w:bottom w:val="single" w:sz="4" w:space="0" w:color="000000"/>
              <w:right w:val="single" w:sz="4" w:space="0" w:color="000000"/>
            </w:tcBorders>
          </w:tcPr>
          <w:p w14:paraId="6B81DC0F" w14:textId="77777777" w:rsidR="002C26E2" w:rsidRDefault="00812CB4">
            <w:pPr>
              <w:spacing w:after="0" w:line="259" w:lineRule="auto"/>
              <w:ind w:left="0" w:firstLine="0"/>
            </w:pPr>
            <w:r>
              <w:rPr>
                <w:sz w:val="20"/>
              </w:rPr>
              <w:t xml:space="preserve">Leading Junior Counsel </w:t>
            </w:r>
          </w:p>
        </w:tc>
        <w:tc>
          <w:tcPr>
            <w:tcW w:w="2307" w:type="dxa"/>
            <w:tcBorders>
              <w:top w:val="single" w:sz="4" w:space="0" w:color="000000"/>
              <w:left w:val="single" w:sz="4" w:space="0" w:color="000000"/>
              <w:bottom w:val="single" w:sz="4" w:space="0" w:color="000000"/>
              <w:right w:val="single" w:sz="4" w:space="0" w:color="000000"/>
            </w:tcBorders>
          </w:tcPr>
          <w:p w14:paraId="6FE40B5B" w14:textId="77777777" w:rsidR="002C26E2" w:rsidRDefault="00812CB4">
            <w:pPr>
              <w:spacing w:after="0" w:line="259" w:lineRule="auto"/>
              <w:ind w:left="1" w:firstLine="0"/>
            </w:pPr>
            <w:r>
              <w:rPr>
                <w:sz w:val="20"/>
              </w:rPr>
              <w:t xml:space="preserve">£105 </w:t>
            </w:r>
          </w:p>
        </w:tc>
        <w:tc>
          <w:tcPr>
            <w:tcW w:w="2149" w:type="dxa"/>
            <w:tcBorders>
              <w:top w:val="single" w:sz="4" w:space="0" w:color="000000"/>
              <w:left w:val="single" w:sz="4" w:space="0" w:color="000000"/>
              <w:bottom w:val="single" w:sz="4" w:space="0" w:color="000000"/>
              <w:right w:val="single" w:sz="4" w:space="0" w:color="000000"/>
            </w:tcBorders>
          </w:tcPr>
          <w:p w14:paraId="1A948F15" w14:textId="77777777" w:rsidR="002C26E2" w:rsidRDefault="00812CB4">
            <w:pPr>
              <w:spacing w:after="0" w:line="259" w:lineRule="auto"/>
              <w:ind w:left="1" w:firstLine="0"/>
            </w:pPr>
            <w:r>
              <w:rPr>
                <w:sz w:val="20"/>
              </w:rPr>
              <w:t xml:space="preserve">£128 </w:t>
            </w:r>
          </w:p>
        </w:tc>
        <w:tc>
          <w:tcPr>
            <w:tcW w:w="2145" w:type="dxa"/>
            <w:tcBorders>
              <w:top w:val="single" w:sz="4" w:space="0" w:color="000000"/>
              <w:left w:val="single" w:sz="4" w:space="0" w:color="000000"/>
              <w:bottom w:val="single" w:sz="4" w:space="0" w:color="000000"/>
              <w:right w:val="single" w:sz="4" w:space="0" w:color="000000"/>
            </w:tcBorders>
          </w:tcPr>
          <w:p w14:paraId="5041D732" w14:textId="77777777" w:rsidR="002C26E2" w:rsidRDefault="00812CB4">
            <w:pPr>
              <w:spacing w:after="0" w:line="259" w:lineRule="auto"/>
              <w:ind w:left="1" w:firstLine="0"/>
            </w:pPr>
            <w:r>
              <w:rPr>
                <w:sz w:val="20"/>
              </w:rPr>
              <w:t xml:space="preserve">21.9% </w:t>
            </w:r>
          </w:p>
        </w:tc>
      </w:tr>
      <w:tr w:rsidR="002C26E2" w14:paraId="2E1BFDBE" w14:textId="77777777">
        <w:trPr>
          <w:trHeight w:val="514"/>
        </w:trPr>
        <w:tc>
          <w:tcPr>
            <w:tcW w:w="2416" w:type="dxa"/>
            <w:tcBorders>
              <w:top w:val="single" w:sz="4" w:space="0" w:color="000000"/>
              <w:left w:val="single" w:sz="4" w:space="0" w:color="000000"/>
              <w:bottom w:val="single" w:sz="4" w:space="0" w:color="000000"/>
              <w:right w:val="single" w:sz="4" w:space="0" w:color="000000"/>
            </w:tcBorders>
          </w:tcPr>
          <w:p w14:paraId="7D07F4E3" w14:textId="77777777" w:rsidR="002C26E2" w:rsidRDefault="00812CB4">
            <w:pPr>
              <w:spacing w:after="0" w:line="259" w:lineRule="auto"/>
              <w:ind w:left="0" w:firstLine="0"/>
            </w:pPr>
            <w:r>
              <w:rPr>
                <w:sz w:val="20"/>
              </w:rPr>
              <w:t xml:space="preserve">Sole Junior Counsel </w:t>
            </w:r>
          </w:p>
        </w:tc>
        <w:tc>
          <w:tcPr>
            <w:tcW w:w="2307" w:type="dxa"/>
            <w:tcBorders>
              <w:top w:val="single" w:sz="4" w:space="0" w:color="000000"/>
              <w:left w:val="single" w:sz="4" w:space="0" w:color="000000"/>
              <w:bottom w:val="single" w:sz="4" w:space="0" w:color="000000"/>
              <w:right w:val="single" w:sz="4" w:space="0" w:color="000000"/>
            </w:tcBorders>
          </w:tcPr>
          <w:p w14:paraId="354AAE23" w14:textId="77777777" w:rsidR="002C26E2" w:rsidRDefault="00812CB4">
            <w:pPr>
              <w:spacing w:after="0" w:line="259" w:lineRule="auto"/>
              <w:ind w:left="1" w:firstLine="0"/>
            </w:pPr>
            <w:r>
              <w:rPr>
                <w:sz w:val="20"/>
              </w:rPr>
              <w:t xml:space="preserve">£90 </w:t>
            </w:r>
          </w:p>
        </w:tc>
        <w:tc>
          <w:tcPr>
            <w:tcW w:w="2149" w:type="dxa"/>
            <w:tcBorders>
              <w:top w:val="single" w:sz="4" w:space="0" w:color="000000"/>
              <w:left w:val="single" w:sz="4" w:space="0" w:color="000000"/>
              <w:bottom w:val="single" w:sz="4" w:space="0" w:color="000000"/>
              <w:right w:val="single" w:sz="4" w:space="0" w:color="000000"/>
            </w:tcBorders>
          </w:tcPr>
          <w:p w14:paraId="0D07505B" w14:textId="77777777" w:rsidR="002C26E2" w:rsidRDefault="00812CB4">
            <w:pPr>
              <w:spacing w:after="0" w:line="259" w:lineRule="auto"/>
              <w:ind w:left="1" w:firstLine="0"/>
            </w:pPr>
            <w:r>
              <w:rPr>
                <w:sz w:val="20"/>
              </w:rPr>
              <w:t xml:space="preserve">£109 </w:t>
            </w:r>
          </w:p>
        </w:tc>
        <w:tc>
          <w:tcPr>
            <w:tcW w:w="2145" w:type="dxa"/>
            <w:tcBorders>
              <w:top w:val="single" w:sz="4" w:space="0" w:color="000000"/>
              <w:left w:val="single" w:sz="4" w:space="0" w:color="000000"/>
              <w:bottom w:val="single" w:sz="4" w:space="0" w:color="000000"/>
              <w:right w:val="single" w:sz="4" w:space="0" w:color="000000"/>
            </w:tcBorders>
          </w:tcPr>
          <w:p w14:paraId="6CA26C27" w14:textId="77777777" w:rsidR="002C26E2" w:rsidRDefault="00812CB4">
            <w:pPr>
              <w:spacing w:after="0" w:line="259" w:lineRule="auto"/>
              <w:ind w:left="1" w:firstLine="0"/>
            </w:pPr>
            <w:r>
              <w:rPr>
                <w:sz w:val="20"/>
              </w:rPr>
              <w:t xml:space="preserve">21.1% </w:t>
            </w:r>
          </w:p>
        </w:tc>
      </w:tr>
      <w:tr w:rsidR="002C26E2" w14:paraId="4552F6F3" w14:textId="77777777">
        <w:trPr>
          <w:trHeight w:val="516"/>
        </w:trPr>
        <w:tc>
          <w:tcPr>
            <w:tcW w:w="2416" w:type="dxa"/>
            <w:tcBorders>
              <w:top w:val="single" w:sz="4" w:space="0" w:color="000000"/>
              <w:left w:val="single" w:sz="4" w:space="0" w:color="000000"/>
              <w:bottom w:val="single" w:sz="4" w:space="0" w:color="000000"/>
              <w:right w:val="single" w:sz="4" w:space="0" w:color="000000"/>
            </w:tcBorders>
          </w:tcPr>
          <w:p w14:paraId="02E23952" w14:textId="77777777" w:rsidR="002C26E2" w:rsidRDefault="00812CB4">
            <w:pPr>
              <w:spacing w:after="0" w:line="259" w:lineRule="auto"/>
              <w:ind w:left="0" w:firstLine="0"/>
            </w:pPr>
            <w:r>
              <w:rPr>
                <w:sz w:val="20"/>
              </w:rPr>
              <w:t xml:space="preserve">Led Junior Counsel </w:t>
            </w:r>
          </w:p>
        </w:tc>
        <w:tc>
          <w:tcPr>
            <w:tcW w:w="2307" w:type="dxa"/>
            <w:tcBorders>
              <w:top w:val="single" w:sz="4" w:space="0" w:color="000000"/>
              <w:left w:val="single" w:sz="4" w:space="0" w:color="000000"/>
              <w:bottom w:val="single" w:sz="4" w:space="0" w:color="000000"/>
              <w:right w:val="single" w:sz="4" w:space="0" w:color="000000"/>
            </w:tcBorders>
          </w:tcPr>
          <w:p w14:paraId="3BBDA35B" w14:textId="77777777" w:rsidR="002C26E2" w:rsidRDefault="00812CB4">
            <w:pPr>
              <w:spacing w:after="0" w:line="259" w:lineRule="auto"/>
              <w:ind w:left="1" w:firstLine="0"/>
            </w:pPr>
            <w:r>
              <w:rPr>
                <w:sz w:val="20"/>
              </w:rPr>
              <w:t xml:space="preserve">£80 </w:t>
            </w:r>
          </w:p>
        </w:tc>
        <w:tc>
          <w:tcPr>
            <w:tcW w:w="2149" w:type="dxa"/>
            <w:tcBorders>
              <w:top w:val="single" w:sz="4" w:space="0" w:color="000000"/>
              <w:left w:val="single" w:sz="4" w:space="0" w:color="000000"/>
              <w:bottom w:val="single" w:sz="4" w:space="0" w:color="000000"/>
              <w:right w:val="single" w:sz="4" w:space="0" w:color="000000"/>
            </w:tcBorders>
          </w:tcPr>
          <w:p w14:paraId="7530A61C" w14:textId="77777777" w:rsidR="002C26E2" w:rsidRDefault="00812CB4">
            <w:pPr>
              <w:spacing w:after="0" w:line="259" w:lineRule="auto"/>
              <w:ind w:left="1" w:firstLine="0"/>
            </w:pPr>
            <w:r>
              <w:rPr>
                <w:sz w:val="20"/>
              </w:rPr>
              <w:t xml:space="preserve">£97 </w:t>
            </w:r>
          </w:p>
        </w:tc>
        <w:tc>
          <w:tcPr>
            <w:tcW w:w="2145" w:type="dxa"/>
            <w:tcBorders>
              <w:top w:val="single" w:sz="4" w:space="0" w:color="000000"/>
              <w:left w:val="single" w:sz="4" w:space="0" w:color="000000"/>
              <w:bottom w:val="single" w:sz="4" w:space="0" w:color="000000"/>
              <w:right w:val="single" w:sz="4" w:space="0" w:color="000000"/>
            </w:tcBorders>
          </w:tcPr>
          <w:p w14:paraId="66617F06" w14:textId="77777777" w:rsidR="002C26E2" w:rsidRDefault="00812CB4">
            <w:pPr>
              <w:spacing w:after="0" w:line="259" w:lineRule="auto"/>
              <w:ind w:left="1" w:firstLine="0"/>
            </w:pPr>
            <w:r>
              <w:rPr>
                <w:sz w:val="20"/>
              </w:rPr>
              <w:t xml:space="preserve">21.2% </w:t>
            </w:r>
          </w:p>
        </w:tc>
      </w:tr>
    </w:tbl>
    <w:p w14:paraId="3891E8A2" w14:textId="5BFCC21F" w:rsidR="002C26E2" w:rsidRDefault="00812CB4" w:rsidP="00444ECE">
      <w:pPr>
        <w:spacing w:after="0" w:line="259" w:lineRule="auto"/>
        <w:ind w:left="12" w:firstLine="0"/>
      </w:pPr>
      <w:r>
        <w:t xml:space="preserve"> </w:t>
      </w:r>
      <w:r>
        <w:rPr>
          <w:b/>
          <w:u w:val="single" w:color="000000"/>
        </w:rPr>
        <w:t>Recommendation 7</w:t>
      </w:r>
      <w:r>
        <w:rPr>
          <w:b/>
        </w:rPr>
        <w:t>:</w:t>
      </w:r>
      <w:r>
        <w:t xml:space="preserve">  </w:t>
      </w:r>
    </w:p>
    <w:p w14:paraId="509670EF" w14:textId="77777777" w:rsidR="002C26E2" w:rsidRDefault="00812CB4">
      <w:pPr>
        <w:spacing w:after="154"/>
        <w:ind w:left="7" w:right="225"/>
      </w:pPr>
      <w:r>
        <w:t xml:space="preserve">We recommend revised EP hourly rates of £164 (Senior), £128 (Leading Junior) £109 (Sole Junior) and £97 (Led Junior), derived from a comparator-anchored model incorporating overheads, pension provision and chargeable hours assumptions, and </w:t>
      </w:r>
      <w:r>
        <w:t>to be implemented alongside reforms limiting EP’s use for PPE/reading.</w:t>
      </w:r>
      <w:r>
        <w:rPr>
          <w:i/>
        </w:rPr>
        <w:t xml:space="preserve"> </w:t>
      </w:r>
    </w:p>
    <w:p w14:paraId="367751BF" w14:textId="77777777" w:rsidR="002C26E2" w:rsidRDefault="00812CB4">
      <w:pPr>
        <w:spacing w:after="152"/>
        <w:ind w:left="7" w:right="225"/>
      </w:pPr>
      <w:r>
        <w:t xml:space="preserve">The percentage differential in the above fees as between Senior Counsel, Leading Junior Counsel, Sole Junior Counsel and Led Junior Counsel is slightly higher than the percentage differential between these roles as sought in the Submission. </w:t>
      </w:r>
    </w:p>
    <w:p w14:paraId="1A87ECD2" w14:textId="77777777" w:rsidR="002C26E2" w:rsidRDefault="00812CB4">
      <w:pPr>
        <w:spacing w:after="271" w:line="263" w:lineRule="auto"/>
        <w:ind w:left="7"/>
      </w:pPr>
      <w:r>
        <w:rPr>
          <w:b/>
          <w:u w:val="single" w:color="000000"/>
        </w:rPr>
        <w:t>Recommendation 8</w:t>
      </w:r>
      <w:r>
        <w:rPr>
          <w:u w:val="single" w:color="000000"/>
        </w:rPr>
        <w:t>:</w:t>
      </w:r>
      <w:r>
        <w:t xml:space="preserve">  </w:t>
      </w:r>
    </w:p>
    <w:p w14:paraId="6B95055C" w14:textId="77777777" w:rsidR="002C26E2" w:rsidRDefault="00812CB4">
      <w:pPr>
        <w:ind w:left="7" w:right="225"/>
      </w:pPr>
      <w:r>
        <w:t xml:space="preserve">These recommended EP hourly rates should be considered in conjunction with the recommendations set out elsewhere in this report regarding the </w:t>
      </w:r>
      <w:r>
        <w:rPr>
          <w:b/>
        </w:rPr>
        <w:t>appropriate and restricted use of EP</w:t>
      </w:r>
      <w:r>
        <w:t xml:space="preserve">, including the recommendation that EP should not be used as a substitute mechanism for PPE/reading where a more direct and proportionate fee mechanism is proposed. </w:t>
      </w:r>
    </w:p>
    <w:p w14:paraId="4EFB88CA" w14:textId="77777777" w:rsidR="002C26E2" w:rsidRDefault="00812CB4">
      <w:pPr>
        <w:spacing w:after="109" w:line="265" w:lineRule="auto"/>
        <w:ind w:left="7"/>
      </w:pPr>
      <w:r>
        <w:rPr>
          <w:u w:val="single" w:color="000000"/>
        </w:rPr>
        <w:t>Costs</w:t>
      </w:r>
      <w:r>
        <w:t xml:space="preserve"> </w:t>
      </w:r>
    </w:p>
    <w:p w14:paraId="75AA7091" w14:textId="77777777" w:rsidR="00444ECE" w:rsidRDefault="00812CB4">
      <w:pPr>
        <w:spacing w:after="300"/>
        <w:ind w:left="7" w:right="225"/>
        <w:sectPr w:rsidR="00444ECE">
          <w:pgSz w:w="11906" w:h="16838"/>
          <w:pgMar w:top="1222" w:right="1213" w:bottom="1358" w:left="1428" w:header="720" w:footer="707" w:gutter="0"/>
          <w:cols w:space="720"/>
        </w:sectPr>
      </w:pPr>
      <w:r>
        <w:t xml:space="preserve">It is forecast that implementation of recommendations 7 and 8 will lead to additional legal aid costs per year of £933k.  </w:t>
      </w:r>
    </w:p>
    <w:p w14:paraId="41181A5C" w14:textId="77777777" w:rsidR="002C26E2" w:rsidRDefault="00812CB4">
      <w:pPr>
        <w:pStyle w:val="Heading1"/>
        <w:spacing w:after="238" w:line="259" w:lineRule="auto"/>
        <w:ind w:left="712" w:hanging="715"/>
      </w:pPr>
      <w:bookmarkStart w:id="53" w:name="_Toc107591"/>
      <w:r>
        <w:rPr>
          <w:color w:val="004E9A"/>
          <w:sz w:val="36"/>
        </w:rPr>
        <w:t>H</w:t>
      </w:r>
      <w:r>
        <w:rPr>
          <w:color w:val="004E9A"/>
          <w:sz w:val="29"/>
        </w:rPr>
        <w:t xml:space="preserve">OURLY </w:t>
      </w:r>
      <w:r>
        <w:rPr>
          <w:color w:val="004E9A"/>
          <w:sz w:val="36"/>
        </w:rPr>
        <w:t>R</w:t>
      </w:r>
      <w:r>
        <w:rPr>
          <w:color w:val="004E9A"/>
          <w:sz w:val="29"/>
        </w:rPr>
        <w:t xml:space="preserve">ATES </w:t>
      </w:r>
      <w:r>
        <w:rPr>
          <w:color w:val="004E9A"/>
          <w:sz w:val="36"/>
        </w:rPr>
        <w:t>–</w:t>
      </w:r>
      <w:r>
        <w:rPr>
          <w:color w:val="004E9A"/>
          <w:sz w:val="29"/>
        </w:rPr>
        <w:t xml:space="preserve"> </w:t>
      </w:r>
      <w:r>
        <w:rPr>
          <w:color w:val="004E9A"/>
          <w:sz w:val="36"/>
        </w:rPr>
        <w:t>S</w:t>
      </w:r>
      <w:r>
        <w:rPr>
          <w:color w:val="004E9A"/>
          <w:sz w:val="29"/>
        </w:rPr>
        <w:t xml:space="preserve">OLICITORS </w:t>
      </w:r>
      <w:r>
        <w:rPr>
          <w:color w:val="004E9A"/>
          <w:sz w:val="36"/>
        </w:rPr>
        <w:t>(E</w:t>
      </w:r>
      <w:r>
        <w:rPr>
          <w:color w:val="004E9A"/>
          <w:sz w:val="29"/>
        </w:rPr>
        <w:t xml:space="preserve">XCEPTIONAL </w:t>
      </w:r>
      <w:bookmarkEnd w:id="53"/>
    </w:p>
    <w:p w14:paraId="54B801B4" w14:textId="77777777" w:rsidR="002C26E2" w:rsidRDefault="00812CB4">
      <w:pPr>
        <w:pStyle w:val="Heading3"/>
        <w:spacing w:after="0" w:line="259" w:lineRule="auto"/>
        <w:ind w:left="737"/>
      </w:pPr>
      <w:bookmarkStart w:id="54" w:name="_Toc107592"/>
      <w:r>
        <w:rPr>
          <w:sz w:val="36"/>
        </w:rPr>
        <w:t>P</w:t>
      </w:r>
      <w:r>
        <w:rPr>
          <w:sz w:val="29"/>
        </w:rPr>
        <w:t>REPARATION</w:t>
      </w:r>
      <w:r>
        <w:rPr>
          <w:sz w:val="36"/>
        </w:rPr>
        <w:t xml:space="preserve">) </w:t>
      </w:r>
      <w:bookmarkEnd w:id="54"/>
    </w:p>
    <w:p w14:paraId="32263EC4" w14:textId="77777777" w:rsidR="002C26E2" w:rsidRDefault="00812CB4">
      <w:pPr>
        <w:spacing w:after="212" w:line="259" w:lineRule="auto"/>
        <w:ind w:left="-17" w:firstLine="0"/>
      </w:pPr>
      <w:r>
        <w:rPr>
          <w:rFonts w:ascii="Calibri" w:eastAsia="Calibri" w:hAnsi="Calibri" w:cs="Calibri"/>
          <w:noProof/>
          <w:sz w:val="22"/>
        </w:rPr>
        <mc:AlternateContent>
          <mc:Choice Requires="wpg">
            <w:drawing>
              <wp:inline distT="0" distB="0" distL="0" distR="0" wp14:anchorId="580E2B56" wp14:editId="32A15A82">
                <wp:extent cx="5769610" cy="6096"/>
                <wp:effectExtent l="0" t="0" r="0" b="0"/>
                <wp:docPr id="95666" name="Group 9566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09" name="Shape 110009"/>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95666" style="width:454.3pt;height:0.47998pt;mso-position-horizontal-relative:char;mso-position-vertical-relative:line" coordsize="57696,60">
                <v:shape id="Shape 110010"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0042C005" w14:textId="77777777" w:rsidR="002C26E2" w:rsidRDefault="00812CB4">
      <w:pPr>
        <w:spacing w:after="0"/>
        <w:ind w:left="7" w:right="225"/>
      </w:pPr>
      <w:r>
        <w:t xml:space="preserve">This section considers the appropriate </w:t>
      </w:r>
      <w:r>
        <w:rPr>
          <w:b/>
        </w:rPr>
        <w:t>hourly rates for solicitors</w:t>
      </w:r>
      <w:r>
        <w:t xml:space="preserve"> undertaking work remunerated on a time-and-rate basis, primarily </w:t>
      </w:r>
      <w:r>
        <w:rPr>
          <w:b/>
        </w:rPr>
        <w:t>Exceptional Preparation (EP)</w:t>
      </w:r>
      <w:r>
        <w:t xml:space="preserve"> in the Crown Court. It evaluates the evidence submitted, including independent reviews commissioned by the Law Society and the Department, and sets out the Review </w:t>
      </w:r>
    </w:p>
    <w:p w14:paraId="1BCD38FD" w14:textId="60F00583" w:rsidR="00444ECE" w:rsidRDefault="00812CB4">
      <w:pPr>
        <w:spacing w:after="453" w:line="361" w:lineRule="auto"/>
        <w:ind w:left="7" w:right="225"/>
      </w:pPr>
      <w:r>
        <w:t xml:space="preserve">Team’s conclusions and recommendations within the scope of the Accelerated </w:t>
      </w:r>
      <w:r>
        <w:t xml:space="preserve">Review. </w:t>
      </w:r>
    </w:p>
    <w:p w14:paraId="2B100C18" w14:textId="77777777" w:rsidR="002C26E2" w:rsidRDefault="00812CB4">
      <w:pPr>
        <w:pStyle w:val="Heading2"/>
        <w:spacing w:after="309"/>
        <w:ind w:left="849" w:right="200" w:hanging="852"/>
      </w:pPr>
      <w:bookmarkStart w:id="55" w:name="_Toc107593"/>
      <w:r>
        <w:rPr>
          <w:color w:val="004E9A"/>
          <w:sz w:val="28"/>
        </w:rPr>
        <w:t>E</w:t>
      </w:r>
      <w:r>
        <w:rPr>
          <w:color w:val="004E9A"/>
        </w:rPr>
        <w:t>XISTING POSITION</w:t>
      </w:r>
      <w:r>
        <w:rPr>
          <w:color w:val="004E9A"/>
          <w:sz w:val="28"/>
        </w:rPr>
        <w:t xml:space="preserve"> </w:t>
      </w:r>
      <w:bookmarkEnd w:id="55"/>
    </w:p>
    <w:p w14:paraId="21ACAFD7" w14:textId="77777777" w:rsidR="002C26E2" w:rsidRDefault="00812CB4">
      <w:pPr>
        <w:spacing w:after="349" w:line="265" w:lineRule="auto"/>
        <w:ind w:left="7"/>
      </w:pPr>
      <w:r>
        <w:rPr>
          <w:u w:val="single" w:color="000000"/>
        </w:rPr>
        <w:t>Current structure</w:t>
      </w:r>
      <w:r>
        <w:t xml:space="preserve"> </w:t>
      </w:r>
    </w:p>
    <w:p w14:paraId="78E28AA4" w14:textId="77777777" w:rsidR="002C26E2" w:rsidRDefault="00812CB4">
      <w:pPr>
        <w:ind w:left="7" w:right="225"/>
      </w:pPr>
      <w:r>
        <w:t xml:space="preserve">Throughout the Fundamental Review process, the SCBA and the Law Society have clearly stated that concept that solicitor remuneration should be based on a </w:t>
      </w:r>
      <w:r>
        <w:rPr>
          <w:b/>
        </w:rPr>
        <w:t>time-and-rate model</w:t>
      </w:r>
      <w:r>
        <w:t xml:space="preserve"> (hours worked multiplied by a fair hourly rate). The Review Team supports this principle in appropriate circumstances, subject to robust evidential support. </w:t>
      </w:r>
    </w:p>
    <w:p w14:paraId="25EDB6FB" w14:textId="77777777" w:rsidR="002C26E2" w:rsidRDefault="00812CB4">
      <w:pPr>
        <w:ind w:left="7" w:right="225"/>
      </w:pPr>
      <w:r>
        <w:t xml:space="preserve">The hourly rate applicable to solicitors undertaking Exceptional Preparation have remained unchanged since April 2016 and are set at: </w:t>
      </w:r>
    </w:p>
    <w:p w14:paraId="2B918956" w14:textId="77777777" w:rsidR="002C26E2" w:rsidRDefault="00812CB4">
      <w:pPr>
        <w:numPr>
          <w:ilvl w:val="0"/>
          <w:numId w:val="43"/>
        </w:numPr>
        <w:spacing w:after="383" w:line="259" w:lineRule="auto"/>
        <w:ind w:right="225" w:hanging="720"/>
      </w:pPr>
      <w:r>
        <w:t xml:space="preserve">Senior Solicitor - £130 per hour </w:t>
      </w:r>
    </w:p>
    <w:p w14:paraId="094E6D08" w14:textId="77777777" w:rsidR="002C26E2" w:rsidRDefault="00812CB4">
      <w:pPr>
        <w:numPr>
          <w:ilvl w:val="0"/>
          <w:numId w:val="43"/>
        </w:numPr>
        <w:spacing w:after="386" w:line="259" w:lineRule="auto"/>
        <w:ind w:right="225" w:hanging="720"/>
      </w:pPr>
      <w:r>
        <w:t xml:space="preserve">Solicitor - £90 per hour </w:t>
      </w:r>
    </w:p>
    <w:p w14:paraId="20B975A5" w14:textId="77777777" w:rsidR="002C26E2" w:rsidRDefault="00812CB4">
      <w:pPr>
        <w:numPr>
          <w:ilvl w:val="0"/>
          <w:numId w:val="43"/>
        </w:numPr>
        <w:spacing w:after="468"/>
        <w:ind w:right="225" w:hanging="720"/>
      </w:pPr>
      <w:r>
        <w:t xml:space="preserve">Apprentice or equivalent - </w:t>
      </w:r>
      <w:r>
        <w:t xml:space="preserve">£50 per hour </w:t>
      </w:r>
    </w:p>
    <w:p w14:paraId="05E2F517" w14:textId="77777777" w:rsidR="002C26E2" w:rsidRDefault="00812CB4">
      <w:pPr>
        <w:pStyle w:val="Heading2"/>
        <w:spacing w:after="312"/>
        <w:ind w:left="849" w:right="200" w:hanging="852"/>
      </w:pPr>
      <w:bookmarkStart w:id="56" w:name="_Toc107594"/>
      <w:r>
        <w:rPr>
          <w:color w:val="004E9A"/>
          <w:sz w:val="28"/>
        </w:rPr>
        <w:t>E</w:t>
      </w:r>
      <w:r>
        <w:rPr>
          <w:color w:val="004E9A"/>
        </w:rPr>
        <w:t>VIDENCE CONSIDERED</w:t>
      </w:r>
      <w:r>
        <w:rPr>
          <w:color w:val="004E9A"/>
          <w:sz w:val="28"/>
        </w:rPr>
        <w:t xml:space="preserve"> </w:t>
      </w:r>
      <w:bookmarkEnd w:id="56"/>
    </w:p>
    <w:p w14:paraId="6EE12508" w14:textId="77777777" w:rsidR="002C26E2" w:rsidRDefault="00812CB4">
      <w:pPr>
        <w:spacing w:after="349" w:line="265" w:lineRule="auto"/>
        <w:ind w:left="7"/>
      </w:pPr>
      <w:r>
        <w:rPr>
          <w:u w:val="single" w:color="000000"/>
        </w:rPr>
        <w:t>The BDO Review (November 2024)</w:t>
      </w:r>
      <w:r>
        <w:t xml:space="preserve"> </w:t>
      </w:r>
    </w:p>
    <w:p w14:paraId="4E568E27" w14:textId="77777777" w:rsidR="002C26E2" w:rsidRDefault="00812CB4">
      <w:pPr>
        <w:spacing w:after="114"/>
        <w:ind w:left="7" w:right="225"/>
      </w:pPr>
      <w:r>
        <w:t xml:space="preserve">In March 2024, the Law Society of Northern Ireland engaged the consultancy firm </w:t>
      </w:r>
      <w:r>
        <w:t xml:space="preserve">BDO, to carry out a review of the solicitor’s Hourly Rate in Northern Ireland. They </w:t>
      </w:r>
      <w:r>
        <w:t xml:space="preserve">issued their report in November 2024. In their report, BDO analysed: </w:t>
      </w:r>
    </w:p>
    <w:p w14:paraId="69985DE2" w14:textId="77777777" w:rsidR="002C26E2" w:rsidRDefault="00812CB4">
      <w:pPr>
        <w:numPr>
          <w:ilvl w:val="0"/>
          <w:numId w:val="44"/>
        </w:numPr>
        <w:spacing w:line="259" w:lineRule="auto"/>
        <w:ind w:right="225" w:hanging="360"/>
      </w:pPr>
      <w:r>
        <w:t xml:space="preserve">salary and overhead costs across a sample of solicitor practices; </w:t>
      </w:r>
    </w:p>
    <w:p w14:paraId="1556A0A3" w14:textId="77777777" w:rsidR="002C26E2" w:rsidRDefault="00812CB4">
      <w:pPr>
        <w:numPr>
          <w:ilvl w:val="0"/>
          <w:numId w:val="44"/>
        </w:numPr>
        <w:spacing w:after="117" w:line="259" w:lineRule="auto"/>
        <w:ind w:right="225" w:hanging="360"/>
      </w:pPr>
      <w:r>
        <w:t xml:space="preserve">chargeable hours assumptions; and </w:t>
      </w:r>
    </w:p>
    <w:p w14:paraId="375D5885" w14:textId="77777777" w:rsidR="002C26E2" w:rsidRDefault="00812CB4">
      <w:pPr>
        <w:numPr>
          <w:ilvl w:val="0"/>
          <w:numId w:val="44"/>
        </w:numPr>
        <w:spacing w:after="396" w:line="259" w:lineRule="auto"/>
        <w:ind w:right="225" w:hanging="360"/>
      </w:pPr>
      <w:r>
        <w:t xml:space="preserve">comparator market data. </w:t>
      </w:r>
    </w:p>
    <w:p w14:paraId="1319AEDA" w14:textId="77777777" w:rsidR="002C26E2" w:rsidRDefault="00812CB4">
      <w:pPr>
        <w:ind w:left="7" w:right="225"/>
      </w:pPr>
      <w:r>
        <w:t xml:space="preserve">BDO carried out a series of calculations, as well as an analysis of the financial status </w:t>
      </w:r>
      <w:r>
        <w:t xml:space="preserve">of a sample of solicitor practices, along with what BDO described as “evidence led </w:t>
      </w:r>
      <w:r>
        <w:t xml:space="preserve">data, supported by comparable market research, which when combined help substantiate </w:t>
      </w:r>
      <w:r>
        <w:t xml:space="preserve">a fair and reasonable Hourly Rate”. </w:t>
      </w:r>
      <w:r>
        <w:t xml:space="preserve">BDO concluded that a fair hourly rate lay between </w:t>
      </w:r>
      <w:r>
        <w:rPr>
          <w:b/>
        </w:rPr>
        <w:t>£150 and £160 per hour</w:t>
      </w:r>
      <w:r>
        <w:t xml:space="preserve">. Notably, BDO stated that they did </w:t>
      </w:r>
      <w:r>
        <w:rPr>
          <w:b/>
        </w:rPr>
        <w:t>not</w:t>
      </w:r>
      <w:r>
        <w:t xml:space="preserve"> include any allowance for profit. </w:t>
      </w:r>
    </w:p>
    <w:p w14:paraId="5B558E13" w14:textId="77777777" w:rsidR="002C26E2" w:rsidRDefault="00812CB4">
      <w:pPr>
        <w:spacing w:after="349" w:line="265" w:lineRule="auto"/>
        <w:ind w:left="7"/>
      </w:pPr>
      <w:r>
        <w:rPr>
          <w:u w:val="single" w:color="000000"/>
        </w:rPr>
        <w:t>The SIB Review (June 2025)</w:t>
      </w:r>
      <w:r>
        <w:t xml:space="preserve"> </w:t>
      </w:r>
    </w:p>
    <w:p w14:paraId="7C386789" w14:textId="77777777" w:rsidR="002C26E2" w:rsidRDefault="00812CB4">
      <w:pPr>
        <w:ind w:left="7" w:right="225"/>
      </w:pPr>
      <w:r>
        <w:t xml:space="preserve">The Strategic Investment Board (SIB) was engaged by the Department of Justice to review the BDO methodology and conclusions.  </w:t>
      </w:r>
    </w:p>
    <w:p w14:paraId="1AE8DD8C" w14:textId="77777777" w:rsidR="002C26E2" w:rsidRDefault="00812CB4">
      <w:pPr>
        <w:ind w:left="7" w:right="225"/>
      </w:pPr>
      <w:r>
        <w:t xml:space="preserve">The SIB Review team also considered the PwC Annual Law Firms Survey as a useful comparator. The PwC Survey looks in some detail at the financial performance within the legal sector, covering key metrics such as fee income by grade, salaries, practice costs, headcount and profitability across the UK. PwC use </w:t>
      </w:r>
      <w:r>
        <w:t xml:space="preserve">eight grades or bands of staff in their survey, going from “full equity partner” to the lowest band covering “trainees, paralegals and legal executives.” The BDO review </w:t>
      </w:r>
      <w:r>
        <w:t xml:space="preserve">only used three bands of fee earners and did not include trainee solicitors, paralegals or legal executives. This was a key omission, which was discussed in the SIB Review. </w:t>
      </w:r>
    </w:p>
    <w:p w14:paraId="7287F130" w14:textId="77777777" w:rsidR="002C26E2" w:rsidRDefault="00812CB4">
      <w:pPr>
        <w:spacing w:after="272"/>
        <w:ind w:left="7" w:right="225"/>
      </w:pPr>
      <w:r>
        <w:t>The SIB Review team recalculated the hourly rate, to ensure all grades of staff found in a typical solicitors practice, including paralegals, trainees and other legal executives were also included. The SIB Review team also included an element of profit in their calculations, which BDO had not done</w:t>
      </w:r>
      <w:r>
        <w:rPr>
          <w:rFonts w:ascii="Times New Roman" w:eastAsia="Times New Roman" w:hAnsi="Times New Roman" w:cs="Times New Roman"/>
        </w:rPr>
        <w:t xml:space="preserve">. </w:t>
      </w:r>
    </w:p>
    <w:p w14:paraId="643CBA84" w14:textId="77777777" w:rsidR="002C26E2" w:rsidRDefault="00812CB4">
      <w:pPr>
        <w:spacing w:after="272"/>
        <w:ind w:left="7" w:right="225"/>
      </w:pPr>
      <w:r>
        <w:t xml:space="preserve">In June 2025, SIB issued their Review where they stated that “the BDO Report is </w:t>
      </w:r>
      <w:r>
        <w:t xml:space="preserve">structured in a way which makes their case in a robust and clear manner for a proposed change to the Hourly Rate. They have used a similar approach to that taken by PwC, in their 2009 Report, as well as learning lessons from the subsequent </w:t>
      </w:r>
      <w:r>
        <w:t>challenges to this report.”</w:t>
      </w:r>
      <w:r>
        <w:t xml:space="preserve"> </w:t>
      </w:r>
    </w:p>
    <w:p w14:paraId="08CC525E" w14:textId="77777777" w:rsidR="002C26E2" w:rsidRDefault="00812CB4">
      <w:pPr>
        <w:spacing w:line="259" w:lineRule="auto"/>
        <w:ind w:left="7" w:right="225"/>
      </w:pPr>
      <w:r>
        <w:t xml:space="preserve">SIB also identified several limitations in the BDO Report, including: </w:t>
      </w:r>
    </w:p>
    <w:p w14:paraId="21808FA8" w14:textId="77777777" w:rsidR="002C26E2" w:rsidRDefault="00812CB4">
      <w:pPr>
        <w:numPr>
          <w:ilvl w:val="0"/>
          <w:numId w:val="45"/>
        </w:numPr>
        <w:spacing w:after="0"/>
        <w:ind w:right="225" w:hanging="360"/>
      </w:pPr>
      <w:r>
        <w:t xml:space="preserve">insufficient inclusion of all staff grades typically present in solicitor practices (e.g. trainees, paralegals); </w:t>
      </w:r>
    </w:p>
    <w:p w14:paraId="5C13D9A6" w14:textId="77777777" w:rsidR="002C26E2" w:rsidRDefault="00812CB4">
      <w:pPr>
        <w:numPr>
          <w:ilvl w:val="0"/>
          <w:numId w:val="45"/>
        </w:numPr>
        <w:spacing w:after="116" w:line="259" w:lineRule="auto"/>
        <w:ind w:right="225" w:hanging="360"/>
      </w:pPr>
      <w:r>
        <w:t xml:space="preserve">sensitivity to assumptions around chargeable hours; and </w:t>
      </w:r>
    </w:p>
    <w:p w14:paraId="0091A94C" w14:textId="77777777" w:rsidR="002C26E2" w:rsidRDefault="00812CB4">
      <w:pPr>
        <w:numPr>
          <w:ilvl w:val="0"/>
          <w:numId w:val="45"/>
        </w:numPr>
        <w:spacing w:after="396" w:line="259" w:lineRule="auto"/>
        <w:ind w:right="225" w:hanging="360"/>
      </w:pPr>
      <w:r>
        <w:t xml:space="preserve">absence of a profit allowance. </w:t>
      </w:r>
    </w:p>
    <w:p w14:paraId="6F1882FA" w14:textId="77777777" w:rsidR="002C26E2" w:rsidRDefault="00812CB4">
      <w:pPr>
        <w:spacing w:after="450"/>
        <w:ind w:left="7" w:right="225"/>
      </w:pPr>
      <w:r>
        <w:t xml:space="preserve">Using revised assumptions and additional comparator data (including PwC Annual Law Firms Survey data), SIB recalculated the hourly rate and concluded that </w:t>
      </w:r>
      <w:r>
        <w:rPr>
          <w:b/>
        </w:rPr>
        <w:t>£143 per hour</w:t>
      </w:r>
      <w:r>
        <w:t xml:space="preserve"> would allow for a reasonable profit of approximately </w:t>
      </w:r>
      <w:r>
        <w:rPr>
          <w:b/>
        </w:rPr>
        <w:t>20%</w:t>
      </w:r>
      <w:r>
        <w:t xml:space="preserve">, on a simple average blended basis to include all grades of staff, typically found in a solicitors practice. These figures were based on 2024 rates and costs. </w:t>
      </w:r>
    </w:p>
    <w:p w14:paraId="1A659DC5" w14:textId="77777777" w:rsidR="002C26E2" w:rsidRDefault="00812CB4">
      <w:pPr>
        <w:pStyle w:val="Heading2"/>
        <w:ind w:left="849" w:right="200" w:hanging="852"/>
      </w:pPr>
      <w:bookmarkStart w:id="57" w:name="_Toc107595"/>
      <w:r>
        <w:rPr>
          <w:color w:val="004E9A"/>
          <w:sz w:val="28"/>
        </w:rPr>
        <w:t>R</w:t>
      </w:r>
      <w:r>
        <w:rPr>
          <w:color w:val="004E9A"/>
        </w:rPr>
        <w:t xml:space="preserve">EQUESTS MADE IN THE </w:t>
      </w:r>
      <w:r>
        <w:rPr>
          <w:color w:val="004E9A"/>
          <w:sz w:val="28"/>
        </w:rPr>
        <w:t>S</w:t>
      </w:r>
      <w:r>
        <w:rPr>
          <w:color w:val="004E9A"/>
        </w:rPr>
        <w:t>UBMISSIONS</w:t>
      </w:r>
      <w:r>
        <w:rPr>
          <w:color w:val="004E9A"/>
          <w:sz w:val="28"/>
        </w:rPr>
        <w:t xml:space="preserve"> </w:t>
      </w:r>
      <w:bookmarkEnd w:id="57"/>
    </w:p>
    <w:p w14:paraId="476251A1" w14:textId="77777777" w:rsidR="002C26E2" w:rsidRDefault="00812CB4">
      <w:pPr>
        <w:spacing w:after="239" w:line="361" w:lineRule="auto"/>
        <w:ind w:left="7" w:right="225"/>
      </w:pPr>
      <w:r>
        <w:t xml:space="preserve">The SCBA’s most recent submission states that, while the BDO review provides a starting point, it does not reflect the need for a “genuine (if modest) profit”. The </w:t>
      </w:r>
      <w:r>
        <w:t xml:space="preserve">SCBA asserts that an hourly rate of </w:t>
      </w:r>
      <w:r>
        <w:rPr>
          <w:b/>
        </w:rPr>
        <w:t>£225 per hour</w:t>
      </w:r>
      <w:r>
        <w:t xml:space="preserve"> should be adopted. </w:t>
      </w:r>
    </w:p>
    <w:p w14:paraId="21E256C5" w14:textId="77777777" w:rsidR="002C26E2" w:rsidRDefault="00812CB4">
      <w:pPr>
        <w:spacing w:line="259" w:lineRule="auto"/>
        <w:ind w:left="7" w:right="225"/>
      </w:pPr>
      <w:r>
        <w:t xml:space="preserve">No detailed evidence was provided explaining: </w:t>
      </w:r>
    </w:p>
    <w:p w14:paraId="03278FC6" w14:textId="77777777" w:rsidR="002C26E2" w:rsidRDefault="00812CB4">
      <w:pPr>
        <w:numPr>
          <w:ilvl w:val="0"/>
          <w:numId w:val="46"/>
        </w:numPr>
        <w:spacing w:after="116" w:line="259" w:lineRule="auto"/>
        <w:ind w:right="225" w:hanging="360"/>
      </w:pPr>
      <w:r>
        <w:t xml:space="preserve">how the £225 rate was derived; </w:t>
      </w:r>
    </w:p>
    <w:p w14:paraId="1FC347FE" w14:textId="77777777" w:rsidR="002C26E2" w:rsidRDefault="00812CB4">
      <w:pPr>
        <w:numPr>
          <w:ilvl w:val="0"/>
          <w:numId w:val="46"/>
        </w:numPr>
        <w:spacing w:after="118" w:line="259" w:lineRule="auto"/>
        <w:ind w:right="225" w:hanging="360"/>
      </w:pPr>
      <w:r>
        <w:t xml:space="preserve">what cost structure it assumes; or </w:t>
      </w:r>
    </w:p>
    <w:p w14:paraId="21ADA36F" w14:textId="77777777" w:rsidR="002C26E2" w:rsidRDefault="00812CB4">
      <w:pPr>
        <w:numPr>
          <w:ilvl w:val="0"/>
          <w:numId w:val="46"/>
        </w:numPr>
        <w:spacing w:after="463"/>
        <w:ind w:right="225" w:hanging="360"/>
      </w:pPr>
      <w:r>
        <w:t xml:space="preserve">how it relates to practice-level data or market comparators. </w:t>
      </w:r>
    </w:p>
    <w:p w14:paraId="1D63A0BC" w14:textId="77777777" w:rsidR="002C26E2" w:rsidRDefault="00812CB4">
      <w:pPr>
        <w:pStyle w:val="Heading2"/>
        <w:ind w:left="849" w:right="200" w:hanging="852"/>
      </w:pPr>
      <w:bookmarkStart w:id="58" w:name="_Toc107596"/>
      <w:r>
        <w:rPr>
          <w:color w:val="004E9A"/>
          <w:sz w:val="28"/>
        </w:rPr>
        <w:t>R</w:t>
      </w:r>
      <w:r>
        <w:rPr>
          <w:color w:val="004E9A"/>
        </w:rPr>
        <w:t xml:space="preserve">EVIEW </w:t>
      </w:r>
      <w:r>
        <w:rPr>
          <w:color w:val="004E9A"/>
          <w:sz w:val="28"/>
        </w:rPr>
        <w:t>T</w:t>
      </w:r>
      <w:r>
        <w:rPr>
          <w:color w:val="004E9A"/>
        </w:rPr>
        <w:t>EAM METHODOLOGY</w:t>
      </w:r>
      <w:r>
        <w:rPr>
          <w:color w:val="004E9A"/>
          <w:sz w:val="28"/>
        </w:rPr>
        <w:t xml:space="preserve"> </w:t>
      </w:r>
      <w:bookmarkEnd w:id="58"/>
    </w:p>
    <w:p w14:paraId="121A03BF" w14:textId="77777777" w:rsidR="002C26E2" w:rsidRDefault="00812CB4">
      <w:pPr>
        <w:spacing w:after="229" w:line="265" w:lineRule="auto"/>
        <w:ind w:left="7"/>
      </w:pPr>
      <w:r>
        <w:rPr>
          <w:u w:val="single" w:color="000000"/>
        </w:rPr>
        <w:t>Adoption and refinement of the SIB approach</w:t>
      </w:r>
      <w:r>
        <w:t xml:space="preserve"> </w:t>
      </w:r>
    </w:p>
    <w:p w14:paraId="0B0E79C0" w14:textId="77777777" w:rsidR="002C26E2" w:rsidRDefault="00812CB4">
      <w:pPr>
        <w:spacing w:after="112"/>
        <w:ind w:left="7" w:right="225"/>
      </w:pPr>
      <w:r>
        <w:t xml:space="preserve">The Review Team has adopted the SIB approach as the most robust available, while refining it using updated assumptions. In particular: </w:t>
      </w:r>
    </w:p>
    <w:p w14:paraId="4561798A" w14:textId="77777777" w:rsidR="002C26E2" w:rsidRDefault="00812CB4">
      <w:pPr>
        <w:numPr>
          <w:ilvl w:val="0"/>
          <w:numId w:val="47"/>
        </w:numPr>
        <w:spacing w:after="118" w:line="259" w:lineRule="auto"/>
        <w:ind w:right="225" w:hanging="360"/>
      </w:pPr>
      <w:r>
        <w:t xml:space="preserve">total salaries and overheads were taken from the BDO review; </w:t>
      </w:r>
    </w:p>
    <w:p w14:paraId="47808537" w14:textId="77777777" w:rsidR="002C26E2" w:rsidRDefault="00812CB4">
      <w:pPr>
        <w:numPr>
          <w:ilvl w:val="0"/>
          <w:numId w:val="47"/>
        </w:numPr>
        <w:spacing w:after="0"/>
        <w:ind w:right="225" w:hanging="360"/>
      </w:pPr>
      <w:r>
        <w:t xml:space="preserve">chargeable hours were set at </w:t>
      </w:r>
      <w:r>
        <w:rPr>
          <w:b/>
        </w:rPr>
        <w:t>1,155 hours</w:t>
      </w:r>
      <w:r>
        <w:t xml:space="preserve">, reflecting approximately </w:t>
      </w:r>
      <w:r>
        <w:rPr>
          <w:b/>
        </w:rPr>
        <w:t>70% utilisation</w:t>
      </w:r>
      <w:r>
        <w:t xml:space="preserve">, allowing time for practice management, business development, and CPD; and </w:t>
      </w:r>
    </w:p>
    <w:p w14:paraId="28835FE8" w14:textId="77777777" w:rsidR="002C26E2" w:rsidRDefault="00812CB4">
      <w:pPr>
        <w:numPr>
          <w:ilvl w:val="0"/>
          <w:numId w:val="47"/>
        </w:numPr>
        <w:spacing w:after="396" w:line="259" w:lineRule="auto"/>
        <w:ind w:right="225" w:hanging="360"/>
      </w:pPr>
      <w:r>
        <w:t xml:space="preserve">a </w:t>
      </w:r>
      <w:r>
        <w:rPr>
          <w:b/>
        </w:rPr>
        <w:t>20% profit margin</w:t>
      </w:r>
      <w:r>
        <w:t xml:space="preserve"> was retained as a reasonable benchmark. </w:t>
      </w:r>
    </w:p>
    <w:p w14:paraId="5303015A" w14:textId="77777777" w:rsidR="002C26E2" w:rsidRDefault="00812CB4">
      <w:pPr>
        <w:spacing w:after="0"/>
        <w:ind w:left="7" w:right="225"/>
      </w:pPr>
      <w:r>
        <w:t xml:space="preserve">The legislation identifies the three grades (or fee levels) for Exceptional Preparation work by solicitors in the Crown Court as, Senior Solicitor, Solicitor and Apprentice or fee earner of equivalent experience. We would map those grade description as follows: </w:t>
      </w:r>
    </w:p>
    <w:tbl>
      <w:tblPr>
        <w:tblStyle w:val="TableGrid"/>
        <w:tblW w:w="7792" w:type="dxa"/>
        <w:tblInd w:w="18" w:type="dxa"/>
        <w:tblCellMar>
          <w:top w:w="52" w:type="dxa"/>
          <w:left w:w="107" w:type="dxa"/>
          <w:bottom w:w="0" w:type="dxa"/>
          <w:right w:w="115" w:type="dxa"/>
        </w:tblCellMar>
        <w:tblLook w:val="04A0" w:firstRow="1" w:lastRow="0" w:firstColumn="1" w:lastColumn="0" w:noHBand="0" w:noVBand="1"/>
      </w:tblPr>
      <w:tblGrid>
        <w:gridCol w:w="4106"/>
        <w:gridCol w:w="3686"/>
      </w:tblGrid>
      <w:tr w:rsidR="002C26E2" w14:paraId="3145433C" w14:textId="77777777">
        <w:trPr>
          <w:trHeight w:val="547"/>
        </w:trPr>
        <w:tc>
          <w:tcPr>
            <w:tcW w:w="4106" w:type="dxa"/>
            <w:tcBorders>
              <w:top w:val="single" w:sz="4" w:space="0" w:color="000000"/>
              <w:left w:val="single" w:sz="4" w:space="0" w:color="000000"/>
              <w:bottom w:val="single" w:sz="4" w:space="0" w:color="000000"/>
              <w:right w:val="single" w:sz="4" w:space="0" w:color="000000"/>
            </w:tcBorders>
            <w:shd w:val="clear" w:color="auto" w:fill="424996"/>
          </w:tcPr>
          <w:p w14:paraId="3557AAC5" w14:textId="77777777" w:rsidR="002C26E2" w:rsidRDefault="00812CB4">
            <w:pPr>
              <w:spacing w:after="0" w:line="259" w:lineRule="auto"/>
              <w:ind w:left="0" w:firstLine="0"/>
            </w:pPr>
            <w:r>
              <w:rPr>
                <w:color w:val="FFFFFF"/>
                <w:sz w:val="22"/>
              </w:rPr>
              <w:t xml:space="preserve">Grades within the Legislation </w:t>
            </w:r>
          </w:p>
        </w:tc>
        <w:tc>
          <w:tcPr>
            <w:tcW w:w="3686" w:type="dxa"/>
            <w:tcBorders>
              <w:top w:val="single" w:sz="4" w:space="0" w:color="000000"/>
              <w:left w:val="single" w:sz="4" w:space="0" w:color="000000"/>
              <w:bottom w:val="single" w:sz="4" w:space="0" w:color="000000"/>
              <w:right w:val="single" w:sz="4" w:space="0" w:color="000000"/>
            </w:tcBorders>
            <w:shd w:val="clear" w:color="auto" w:fill="424996"/>
          </w:tcPr>
          <w:p w14:paraId="7F3F0F92" w14:textId="77777777" w:rsidR="002C26E2" w:rsidRDefault="00812CB4">
            <w:pPr>
              <w:spacing w:after="0" w:line="259" w:lineRule="auto"/>
              <w:ind w:left="1" w:firstLine="0"/>
            </w:pPr>
            <w:r>
              <w:rPr>
                <w:color w:val="FFFFFF"/>
                <w:sz w:val="22"/>
              </w:rPr>
              <w:t xml:space="preserve">Equivalent Grades in Practices </w:t>
            </w:r>
          </w:p>
        </w:tc>
      </w:tr>
      <w:tr w:rsidR="002C26E2" w14:paraId="60C732C8" w14:textId="77777777">
        <w:trPr>
          <w:trHeight w:val="551"/>
        </w:trPr>
        <w:tc>
          <w:tcPr>
            <w:tcW w:w="4106" w:type="dxa"/>
            <w:tcBorders>
              <w:top w:val="single" w:sz="4" w:space="0" w:color="000000"/>
              <w:left w:val="single" w:sz="4" w:space="0" w:color="000000"/>
              <w:bottom w:val="single" w:sz="4" w:space="0" w:color="000000"/>
              <w:right w:val="single" w:sz="4" w:space="0" w:color="000000"/>
            </w:tcBorders>
          </w:tcPr>
          <w:p w14:paraId="49311D8D" w14:textId="77777777" w:rsidR="002C26E2" w:rsidRDefault="00812CB4">
            <w:pPr>
              <w:spacing w:after="0" w:line="259" w:lineRule="auto"/>
              <w:ind w:left="0" w:firstLine="0"/>
            </w:pPr>
            <w:r>
              <w:rPr>
                <w:sz w:val="22"/>
              </w:rPr>
              <w:t xml:space="preserve">Senior Solicitor </w:t>
            </w:r>
          </w:p>
        </w:tc>
        <w:tc>
          <w:tcPr>
            <w:tcW w:w="3686" w:type="dxa"/>
            <w:tcBorders>
              <w:top w:val="single" w:sz="4" w:space="0" w:color="000000"/>
              <w:left w:val="single" w:sz="4" w:space="0" w:color="000000"/>
              <w:bottom w:val="single" w:sz="4" w:space="0" w:color="000000"/>
              <w:right w:val="single" w:sz="4" w:space="0" w:color="000000"/>
            </w:tcBorders>
          </w:tcPr>
          <w:p w14:paraId="7C47925F" w14:textId="77777777" w:rsidR="002C26E2" w:rsidRDefault="00812CB4">
            <w:pPr>
              <w:spacing w:after="0" w:line="259" w:lineRule="auto"/>
              <w:ind w:left="1" w:firstLine="0"/>
            </w:pPr>
            <w:r>
              <w:rPr>
                <w:sz w:val="22"/>
              </w:rPr>
              <w:t xml:space="preserve">Partner/Director </w:t>
            </w:r>
          </w:p>
        </w:tc>
      </w:tr>
      <w:tr w:rsidR="002C26E2" w14:paraId="4720A921" w14:textId="77777777">
        <w:trPr>
          <w:trHeight w:val="547"/>
        </w:trPr>
        <w:tc>
          <w:tcPr>
            <w:tcW w:w="4106" w:type="dxa"/>
            <w:tcBorders>
              <w:top w:val="single" w:sz="4" w:space="0" w:color="000000"/>
              <w:left w:val="single" w:sz="4" w:space="0" w:color="000000"/>
              <w:bottom w:val="single" w:sz="4" w:space="0" w:color="000000"/>
              <w:right w:val="single" w:sz="4" w:space="0" w:color="000000"/>
            </w:tcBorders>
          </w:tcPr>
          <w:p w14:paraId="54F40EA1" w14:textId="77777777" w:rsidR="002C26E2" w:rsidRDefault="00812CB4">
            <w:pPr>
              <w:spacing w:after="0" w:line="259" w:lineRule="auto"/>
              <w:ind w:left="0" w:firstLine="0"/>
            </w:pPr>
            <w:r>
              <w:rPr>
                <w:sz w:val="22"/>
              </w:rPr>
              <w:t xml:space="preserve">Solicitor </w:t>
            </w:r>
          </w:p>
        </w:tc>
        <w:tc>
          <w:tcPr>
            <w:tcW w:w="3686" w:type="dxa"/>
            <w:tcBorders>
              <w:top w:val="single" w:sz="4" w:space="0" w:color="000000"/>
              <w:left w:val="single" w:sz="4" w:space="0" w:color="000000"/>
              <w:bottom w:val="single" w:sz="4" w:space="0" w:color="000000"/>
              <w:right w:val="single" w:sz="4" w:space="0" w:color="000000"/>
            </w:tcBorders>
          </w:tcPr>
          <w:p w14:paraId="31E20683" w14:textId="77777777" w:rsidR="002C26E2" w:rsidRDefault="00812CB4">
            <w:pPr>
              <w:spacing w:after="0" w:line="259" w:lineRule="auto"/>
              <w:ind w:left="1" w:firstLine="0"/>
            </w:pPr>
            <w:r>
              <w:rPr>
                <w:sz w:val="22"/>
              </w:rPr>
              <w:t xml:space="preserve">Solicitor </w:t>
            </w:r>
          </w:p>
        </w:tc>
      </w:tr>
      <w:tr w:rsidR="002C26E2" w14:paraId="7EA739EF" w14:textId="77777777">
        <w:trPr>
          <w:trHeight w:val="931"/>
        </w:trPr>
        <w:tc>
          <w:tcPr>
            <w:tcW w:w="4106" w:type="dxa"/>
            <w:tcBorders>
              <w:top w:val="single" w:sz="4" w:space="0" w:color="000000"/>
              <w:left w:val="single" w:sz="4" w:space="0" w:color="000000"/>
              <w:bottom w:val="single" w:sz="4" w:space="0" w:color="000000"/>
              <w:right w:val="single" w:sz="4" w:space="0" w:color="000000"/>
            </w:tcBorders>
          </w:tcPr>
          <w:p w14:paraId="4B053326" w14:textId="77777777" w:rsidR="002C26E2" w:rsidRDefault="00812CB4">
            <w:pPr>
              <w:spacing w:after="0" w:line="259" w:lineRule="auto"/>
              <w:ind w:left="0" w:firstLine="0"/>
            </w:pPr>
            <w:r>
              <w:rPr>
                <w:sz w:val="22"/>
              </w:rPr>
              <w:t xml:space="preserve">Apprentice or fee earner of equivalent experience </w:t>
            </w:r>
          </w:p>
        </w:tc>
        <w:tc>
          <w:tcPr>
            <w:tcW w:w="3686" w:type="dxa"/>
            <w:tcBorders>
              <w:top w:val="single" w:sz="4" w:space="0" w:color="000000"/>
              <w:left w:val="single" w:sz="4" w:space="0" w:color="000000"/>
              <w:bottom w:val="single" w:sz="4" w:space="0" w:color="000000"/>
              <w:right w:val="single" w:sz="4" w:space="0" w:color="000000"/>
            </w:tcBorders>
          </w:tcPr>
          <w:p w14:paraId="218822AE" w14:textId="77777777" w:rsidR="002C26E2" w:rsidRDefault="00812CB4">
            <w:pPr>
              <w:spacing w:after="0" w:line="259" w:lineRule="auto"/>
              <w:ind w:left="1" w:firstLine="0"/>
            </w:pPr>
            <w:r>
              <w:rPr>
                <w:sz w:val="22"/>
              </w:rPr>
              <w:t xml:space="preserve">Trainee &amp; Paralegal </w:t>
            </w:r>
          </w:p>
        </w:tc>
      </w:tr>
    </w:tbl>
    <w:p w14:paraId="70668606" w14:textId="77777777" w:rsidR="002C26E2" w:rsidRDefault="00812CB4">
      <w:pPr>
        <w:spacing w:after="316" w:line="259" w:lineRule="auto"/>
        <w:ind w:left="12" w:firstLine="0"/>
      </w:pPr>
      <w:r>
        <w:t xml:space="preserve"> </w:t>
      </w:r>
    </w:p>
    <w:p w14:paraId="28308C4B" w14:textId="77777777" w:rsidR="002C26E2" w:rsidRDefault="00812CB4">
      <w:pPr>
        <w:spacing w:after="349" w:line="265" w:lineRule="auto"/>
        <w:ind w:left="7"/>
      </w:pPr>
      <w:r>
        <w:rPr>
          <w:u w:val="single" w:color="000000"/>
        </w:rPr>
        <w:t>Blended and weighted rate calculation</w:t>
      </w:r>
      <w:r>
        <w:t xml:space="preserve"> </w:t>
      </w:r>
    </w:p>
    <w:p w14:paraId="6982D350" w14:textId="77777777" w:rsidR="002C26E2" w:rsidRDefault="00812CB4">
      <w:pPr>
        <w:spacing w:after="116"/>
        <w:ind w:left="7" w:right="225"/>
      </w:pPr>
      <w:r>
        <w:t xml:space="preserve">Using the above assumptions, the Review Team calculated updated (2025) individual hourly rates for: </w:t>
      </w:r>
    </w:p>
    <w:p w14:paraId="5AF19B7F" w14:textId="77777777" w:rsidR="002C26E2" w:rsidRDefault="00812CB4">
      <w:pPr>
        <w:numPr>
          <w:ilvl w:val="0"/>
          <w:numId w:val="47"/>
        </w:numPr>
        <w:spacing w:line="259" w:lineRule="auto"/>
        <w:ind w:right="225" w:hanging="360"/>
      </w:pPr>
      <w:r>
        <w:t xml:space="preserve">Senior Solicitors; </w:t>
      </w:r>
    </w:p>
    <w:p w14:paraId="01E74583" w14:textId="77777777" w:rsidR="002C26E2" w:rsidRDefault="00812CB4">
      <w:pPr>
        <w:numPr>
          <w:ilvl w:val="0"/>
          <w:numId w:val="47"/>
        </w:numPr>
        <w:spacing w:line="259" w:lineRule="auto"/>
        <w:ind w:right="225" w:hanging="360"/>
      </w:pPr>
      <w:r>
        <w:t xml:space="preserve">Solicitors; and </w:t>
      </w:r>
    </w:p>
    <w:p w14:paraId="2062550F" w14:textId="77777777" w:rsidR="002C26E2" w:rsidRDefault="00812CB4">
      <w:pPr>
        <w:numPr>
          <w:ilvl w:val="0"/>
          <w:numId w:val="47"/>
        </w:numPr>
        <w:spacing w:line="259" w:lineRule="auto"/>
        <w:ind w:right="225" w:hanging="360"/>
      </w:pPr>
      <w:r>
        <w:t xml:space="preserve">Apprentices / equivalent junior fee earners. </w:t>
      </w:r>
    </w:p>
    <w:p w14:paraId="7765E934" w14:textId="77777777" w:rsidR="002C26E2" w:rsidRDefault="00812CB4">
      <w:pPr>
        <w:spacing w:after="0" w:line="259" w:lineRule="auto"/>
        <w:ind w:left="732" w:firstLine="0"/>
      </w:pPr>
      <w:r>
        <w:t xml:space="preserve"> </w:t>
      </w:r>
    </w:p>
    <w:tbl>
      <w:tblPr>
        <w:tblStyle w:val="TableGrid"/>
        <w:tblW w:w="9225" w:type="dxa"/>
        <w:tblInd w:w="24" w:type="dxa"/>
        <w:tblCellMar>
          <w:top w:w="53" w:type="dxa"/>
          <w:left w:w="106" w:type="dxa"/>
          <w:bottom w:w="0" w:type="dxa"/>
          <w:right w:w="0" w:type="dxa"/>
        </w:tblCellMar>
        <w:tblLook w:val="04A0" w:firstRow="1" w:lastRow="0" w:firstColumn="1" w:lastColumn="0" w:noHBand="0" w:noVBand="1"/>
      </w:tblPr>
      <w:tblGrid>
        <w:gridCol w:w="1831"/>
        <w:gridCol w:w="1531"/>
        <w:gridCol w:w="884"/>
        <w:gridCol w:w="950"/>
        <w:gridCol w:w="1361"/>
        <w:gridCol w:w="1284"/>
        <w:gridCol w:w="1384"/>
      </w:tblGrid>
      <w:tr w:rsidR="002C26E2" w14:paraId="33F733FE" w14:textId="77777777">
        <w:trPr>
          <w:trHeight w:val="1027"/>
        </w:trPr>
        <w:tc>
          <w:tcPr>
            <w:tcW w:w="1830" w:type="dxa"/>
            <w:tcBorders>
              <w:top w:val="single" w:sz="8" w:space="0" w:color="000000"/>
              <w:left w:val="single" w:sz="8" w:space="0" w:color="000000"/>
              <w:bottom w:val="single" w:sz="8" w:space="0" w:color="000000"/>
              <w:right w:val="single" w:sz="4" w:space="0" w:color="000000"/>
            </w:tcBorders>
            <w:shd w:val="clear" w:color="auto" w:fill="424996"/>
            <w:vAlign w:val="bottom"/>
          </w:tcPr>
          <w:p w14:paraId="1BB06F0C" w14:textId="77777777" w:rsidR="002C26E2" w:rsidRDefault="00812CB4">
            <w:pPr>
              <w:spacing w:after="0" w:line="259" w:lineRule="auto"/>
              <w:ind w:left="0" w:firstLine="0"/>
            </w:pPr>
            <w:r>
              <w:rPr>
                <w:color w:val="FFFFFF"/>
                <w:sz w:val="22"/>
              </w:rPr>
              <w:t xml:space="preserve">Staff Grade </w:t>
            </w:r>
          </w:p>
        </w:tc>
        <w:tc>
          <w:tcPr>
            <w:tcW w:w="1531" w:type="dxa"/>
            <w:tcBorders>
              <w:top w:val="single" w:sz="8" w:space="0" w:color="000000"/>
              <w:left w:val="single" w:sz="4" w:space="0" w:color="000000"/>
              <w:bottom w:val="single" w:sz="8" w:space="0" w:color="000000"/>
              <w:right w:val="single" w:sz="4" w:space="0" w:color="000000"/>
            </w:tcBorders>
            <w:shd w:val="clear" w:color="auto" w:fill="424996"/>
            <w:vAlign w:val="bottom"/>
          </w:tcPr>
          <w:p w14:paraId="5AA0DC46" w14:textId="77777777" w:rsidR="002C26E2" w:rsidRDefault="00812CB4">
            <w:pPr>
              <w:spacing w:after="0" w:line="259" w:lineRule="auto"/>
              <w:ind w:left="4" w:firstLine="0"/>
            </w:pPr>
            <w:r>
              <w:rPr>
                <w:color w:val="FFFFFF"/>
                <w:sz w:val="22"/>
              </w:rPr>
              <w:t xml:space="preserve">Average </w:t>
            </w:r>
          </w:p>
          <w:p w14:paraId="682F5D1E" w14:textId="77777777" w:rsidR="002C26E2" w:rsidRDefault="00812CB4">
            <w:pPr>
              <w:spacing w:after="0" w:line="259" w:lineRule="auto"/>
              <w:ind w:left="4" w:firstLine="0"/>
            </w:pPr>
            <w:r>
              <w:rPr>
                <w:color w:val="FFFFFF"/>
                <w:sz w:val="22"/>
              </w:rPr>
              <w:t xml:space="preserve">Salary &amp; </w:t>
            </w:r>
          </w:p>
          <w:p w14:paraId="7C14331E" w14:textId="77777777" w:rsidR="002C26E2" w:rsidRDefault="00812CB4">
            <w:pPr>
              <w:spacing w:after="0" w:line="259" w:lineRule="auto"/>
              <w:ind w:left="4" w:firstLine="0"/>
            </w:pPr>
            <w:r>
              <w:rPr>
                <w:color w:val="FFFFFF"/>
                <w:sz w:val="22"/>
              </w:rPr>
              <w:t xml:space="preserve">Overheads </w:t>
            </w:r>
          </w:p>
        </w:tc>
        <w:tc>
          <w:tcPr>
            <w:tcW w:w="884" w:type="dxa"/>
            <w:tcBorders>
              <w:top w:val="single" w:sz="8" w:space="0" w:color="000000"/>
              <w:left w:val="single" w:sz="4" w:space="0" w:color="000000"/>
              <w:bottom w:val="single" w:sz="8" w:space="0" w:color="000000"/>
              <w:right w:val="single" w:sz="4" w:space="0" w:color="000000"/>
            </w:tcBorders>
            <w:shd w:val="clear" w:color="auto" w:fill="424996"/>
            <w:vAlign w:val="bottom"/>
          </w:tcPr>
          <w:p w14:paraId="2DFA0354" w14:textId="77777777" w:rsidR="002C26E2" w:rsidRDefault="00812CB4">
            <w:pPr>
              <w:spacing w:after="0" w:line="259" w:lineRule="auto"/>
              <w:ind w:left="4" w:firstLine="0"/>
            </w:pPr>
            <w:r>
              <w:rPr>
                <w:color w:val="FFFFFF"/>
                <w:sz w:val="22"/>
              </w:rPr>
              <w:t xml:space="preserve">Hours </w:t>
            </w:r>
          </w:p>
        </w:tc>
        <w:tc>
          <w:tcPr>
            <w:tcW w:w="950" w:type="dxa"/>
            <w:tcBorders>
              <w:top w:val="single" w:sz="8" w:space="0" w:color="000000"/>
              <w:left w:val="single" w:sz="4" w:space="0" w:color="000000"/>
              <w:bottom w:val="single" w:sz="8" w:space="0" w:color="000000"/>
              <w:right w:val="single" w:sz="4" w:space="0" w:color="000000"/>
            </w:tcBorders>
            <w:shd w:val="clear" w:color="auto" w:fill="424996"/>
            <w:vAlign w:val="bottom"/>
          </w:tcPr>
          <w:p w14:paraId="6B5E8A0D" w14:textId="77777777" w:rsidR="002C26E2" w:rsidRDefault="00812CB4">
            <w:pPr>
              <w:spacing w:after="0" w:line="259" w:lineRule="auto"/>
              <w:ind w:left="4" w:firstLine="0"/>
            </w:pPr>
            <w:r>
              <w:rPr>
                <w:color w:val="FFFFFF"/>
                <w:sz w:val="22"/>
              </w:rPr>
              <w:t xml:space="preserve">Hourly Rate </w:t>
            </w:r>
          </w:p>
        </w:tc>
        <w:tc>
          <w:tcPr>
            <w:tcW w:w="1361" w:type="dxa"/>
            <w:tcBorders>
              <w:top w:val="single" w:sz="8" w:space="0" w:color="000000"/>
              <w:left w:val="single" w:sz="4" w:space="0" w:color="000000"/>
              <w:bottom w:val="single" w:sz="8" w:space="0" w:color="000000"/>
              <w:right w:val="single" w:sz="4" w:space="0" w:color="000000"/>
            </w:tcBorders>
            <w:shd w:val="clear" w:color="auto" w:fill="424996"/>
          </w:tcPr>
          <w:p w14:paraId="24E2FB14" w14:textId="77777777" w:rsidR="002C26E2" w:rsidRDefault="00812CB4">
            <w:pPr>
              <w:spacing w:after="0" w:line="259" w:lineRule="auto"/>
              <w:ind w:left="4" w:firstLine="0"/>
            </w:pPr>
            <w:r>
              <w:rPr>
                <w:color w:val="FFFFFF"/>
                <w:sz w:val="22"/>
              </w:rPr>
              <w:t xml:space="preserve">Hourly </w:t>
            </w:r>
          </w:p>
          <w:p w14:paraId="32C6E68A" w14:textId="77777777" w:rsidR="002C26E2" w:rsidRDefault="00812CB4">
            <w:pPr>
              <w:spacing w:after="0" w:line="259" w:lineRule="auto"/>
              <w:ind w:left="4" w:firstLine="0"/>
            </w:pPr>
            <w:r>
              <w:rPr>
                <w:color w:val="FFFFFF"/>
                <w:sz w:val="22"/>
              </w:rPr>
              <w:t xml:space="preserve">Rate </w:t>
            </w:r>
          </w:p>
          <w:p w14:paraId="1386FF6C" w14:textId="77777777" w:rsidR="002C26E2" w:rsidRDefault="00812CB4">
            <w:pPr>
              <w:spacing w:after="0" w:line="259" w:lineRule="auto"/>
              <w:ind w:left="4" w:firstLine="0"/>
            </w:pPr>
            <w:r>
              <w:rPr>
                <w:color w:val="FFFFFF"/>
                <w:sz w:val="22"/>
              </w:rPr>
              <w:t xml:space="preserve">Including </w:t>
            </w:r>
          </w:p>
          <w:p w14:paraId="3D018A0E" w14:textId="77777777" w:rsidR="002C26E2" w:rsidRDefault="00812CB4">
            <w:pPr>
              <w:spacing w:after="0" w:line="259" w:lineRule="auto"/>
              <w:ind w:left="4" w:firstLine="0"/>
            </w:pPr>
            <w:r>
              <w:rPr>
                <w:color w:val="FFFFFF"/>
                <w:sz w:val="22"/>
              </w:rPr>
              <w:t xml:space="preserve">Profit </w:t>
            </w:r>
          </w:p>
        </w:tc>
        <w:tc>
          <w:tcPr>
            <w:tcW w:w="1284" w:type="dxa"/>
            <w:tcBorders>
              <w:top w:val="single" w:sz="8" w:space="0" w:color="000000"/>
              <w:left w:val="single" w:sz="4" w:space="0" w:color="000000"/>
              <w:bottom w:val="single" w:sz="8" w:space="0" w:color="000000"/>
              <w:right w:val="single" w:sz="4" w:space="0" w:color="000000"/>
            </w:tcBorders>
            <w:shd w:val="clear" w:color="auto" w:fill="424996"/>
            <w:vAlign w:val="bottom"/>
          </w:tcPr>
          <w:p w14:paraId="7F1A2149" w14:textId="77777777" w:rsidR="002C26E2" w:rsidRDefault="00812CB4">
            <w:pPr>
              <w:spacing w:after="0" w:line="259" w:lineRule="auto"/>
              <w:ind w:left="4" w:firstLine="0"/>
            </w:pPr>
            <w:r>
              <w:rPr>
                <w:color w:val="FFFFFF"/>
                <w:sz w:val="22"/>
              </w:rPr>
              <w:t xml:space="preserve">Weighting </w:t>
            </w:r>
          </w:p>
        </w:tc>
        <w:tc>
          <w:tcPr>
            <w:tcW w:w="1384" w:type="dxa"/>
            <w:tcBorders>
              <w:top w:val="single" w:sz="8" w:space="0" w:color="000000"/>
              <w:left w:val="single" w:sz="4" w:space="0" w:color="000000"/>
              <w:bottom w:val="single" w:sz="8" w:space="0" w:color="000000"/>
              <w:right w:val="single" w:sz="8" w:space="0" w:color="000000"/>
            </w:tcBorders>
            <w:shd w:val="clear" w:color="auto" w:fill="424996"/>
            <w:vAlign w:val="bottom"/>
          </w:tcPr>
          <w:p w14:paraId="287BE46F" w14:textId="77777777" w:rsidR="002C26E2" w:rsidRDefault="00812CB4">
            <w:pPr>
              <w:spacing w:after="0" w:line="259" w:lineRule="auto"/>
              <w:ind w:left="4" w:firstLine="0"/>
            </w:pPr>
            <w:r>
              <w:rPr>
                <w:color w:val="FFFFFF"/>
                <w:sz w:val="22"/>
              </w:rPr>
              <w:t xml:space="preserve">Weighted Hourly Rate </w:t>
            </w:r>
          </w:p>
        </w:tc>
      </w:tr>
      <w:tr w:rsidR="002C26E2" w14:paraId="74601ADA" w14:textId="77777777">
        <w:trPr>
          <w:trHeight w:val="388"/>
        </w:trPr>
        <w:tc>
          <w:tcPr>
            <w:tcW w:w="1830" w:type="dxa"/>
            <w:tcBorders>
              <w:top w:val="single" w:sz="8" w:space="0" w:color="000000"/>
              <w:left w:val="single" w:sz="8" w:space="0" w:color="000000"/>
              <w:bottom w:val="nil"/>
              <w:right w:val="single" w:sz="4" w:space="0" w:color="000000"/>
            </w:tcBorders>
          </w:tcPr>
          <w:p w14:paraId="2D925D8F" w14:textId="77777777" w:rsidR="002C26E2" w:rsidRDefault="00812CB4">
            <w:pPr>
              <w:spacing w:after="0" w:line="259" w:lineRule="auto"/>
              <w:ind w:left="0" w:firstLine="0"/>
            </w:pPr>
            <w:r>
              <w:rPr>
                <w:sz w:val="22"/>
              </w:rPr>
              <w:t xml:space="preserve">Senior Solicitor </w:t>
            </w:r>
          </w:p>
        </w:tc>
        <w:tc>
          <w:tcPr>
            <w:tcW w:w="1531" w:type="dxa"/>
            <w:tcBorders>
              <w:top w:val="single" w:sz="8" w:space="0" w:color="000000"/>
              <w:left w:val="single" w:sz="4" w:space="0" w:color="000000"/>
              <w:bottom w:val="nil"/>
              <w:right w:val="single" w:sz="4" w:space="0" w:color="000000"/>
            </w:tcBorders>
          </w:tcPr>
          <w:p w14:paraId="631BF8F6" w14:textId="77777777" w:rsidR="002C26E2" w:rsidRDefault="00812CB4">
            <w:pPr>
              <w:spacing w:after="0" w:line="259" w:lineRule="auto"/>
              <w:ind w:left="0" w:right="106" w:firstLine="0"/>
              <w:jc w:val="right"/>
            </w:pPr>
            <w:r>
              <w:rPr>
                <w:sz w:val="22"/>
              </w:rPr>
              <w:t xml:space="preserve">185,045  </w:t>
            </w:r>
          </w:p>
        </w:tc>
        <w:tc>
          <w:tcPr>
            <w:tcW w:w="884" w:type="dxa"/>
            <w:tcBorders>
              <w:top w:val="single" w:sz="8" w:space="0" w:color="000000"/>
              <w:left w:val="single" w:sz="4" w:space="0" w:color="000000"/>
              <w:bottom w:val="nil"/>
              <w:right w:val="single" w:sz="4" w:space="0" w:color="000000"/>
            </w:tcBorders>
          </w:tcPr>
          <w:p w14:paraId="432AD02E" w14:textId="77777777" w:rsidR="002C26E2" w:rsidRDefault="00812CB4">
            <w:pPr>
              <w:spacing w:after="0" w:line="259" w:lineRule="auto"/>
              <w:ind w:left="0" w:right="107" w:firstLine="0"/>
              <w:jc w:val="right"/>
            </w:pPr>
            <w:r>
              <w:rPr>
                <w:sz w:val="22"/>
              </w:rPr>
              <w:t xml:space="preserve">1,155  </w:t>
            </w:r>
          </w:p>
        </w:tc>
        <w:tc>
          <w:tcPr>
            <w:tcW w:w="950" w:type="dxa"/>
            <w:tcBorders>
              <w:top w:val="single" w:sz="8" w:space="0" w:color="000000"/>
              <w:left w:val="single" w:sz="4" w:space="0" w:color="000000"/>
              <w:bottom w:val="nil"/>
              <w:right w:val="single" w:sz="4" w:space="0" w:color="000000"/>
            </w:tcBorders>
          </w:tcPr>
          <w:p w14:paraId="5C81543E" w14:textId="77777777" w:rsidR="002C26E2" w:rsidRDefault="00812CB4">
            <w:pPr>
              <w:spacing w:after="0" w:line="259" w:lineRule="auto"/>
              <w:ind w:left="64" w:firstLine="0"/>
            </w:pPr>
            <w:r>
              <w:rPr>
                <w:sz w:val="22"/>
              </w:rPr>
              <w:t xml:space="preserve">160.21  </w:t>
            </w:r>
          </w:p>
        </w:tc>
        <w:tc>
          <w:tcPr>
            <w:tcW w:w="1361" w:type="dxa"/>
            <w:tcBorders>
              <w:top w:val="single" w:sz="8" w:space="0" w:color="000000"/>
              <w:left w:val="single" w:sz="4" w:space="0" w:color="000000"/>
              <w:bottom w:val="nil"/>
              <w:right w:val="single" w:sz="4" w:space="0" w:color="000000"/>
            </w:tcBorders>
          </w:tcPr>
          <w:p w14:paraId="6889BF10" w14:textId="77777777" w:rsidR="002C26E2" w:rsidRDefault="00812CB4">
            <w:pPr>
              <w:spacing w:after="0" w:line="259" w:lineRule="auto"/>
              <w:ind w:left="0" w:right="107" w:firstLine="0"/>
              <w:jc w:val="right"/>
            </w:pPr>
            <w:r>
              <w:rPr>
                <w:sz w:val="22"/>
              </w:rPr>
              <w:t xml:space="preserve">200.27  </w:t>
            </w:r>
          </w:p>
        </w:tc>
        <w:tc>
          <w:tcPr>
            <w:tcW w:w="1284" w:type="dxa"/>
            <w:tcBorders>
              <w:top w:val="single" w:sz="8" w:space="0" w:color="000000"/>
              <w:left w:val="single" w:sz="4" w:space="0" w:color="000000"/>
              <w:bottom w:val="nil"/>
              <w:right w:val="single" w:sz="4" w:space="0" w:color="000000"/>
            </w:tcBorders>
          </w:tcPr>
          <w:p w14:paraId="0773C246" w14:textId="77777777" w:rsidR="002C26E2" w:rsidRDefault="00812CB4">
            <w:pPr>
              <w:spacing w:after="0" w:line="259" w:lineRule="auto"/>
              <w:ind w:left="0" w:right="105" w:firstLine="0"/>
              <w:jc w:val="right"/>
            </w:pPr>
            <w:r>
              <w:rPr>
                <w:sz w:val="22"/>
              </w:rPr>
              <w:t xml:space="preserve">40.0% </w:t>
            </w:r>
          </w:p>
        </w:tc>
        <w:tc>
          <w:tcPr>
            <w:tcW w:w="1384" w:type="dxa"/>
            <w:tcBorders>
              <w:top w:val="single" w:sz="8" w:space="0" w:color="000000"/>
              <w:left w:val="single" w:sz="4" w:space="0" w:color="000000"/>
              <w:bottom w:val="nil"/>
              <w:right w:val="single" w:sz="8" w:space="0" w:color="000000"/>
            </w:tcBorders>
          </w:tcPr>
          <w:p w14:paraId="7EF0BBC3" w14:textId="77777777" w:rsidR="002C26E2" w:rsidRDefault="00812CB4">
            <w:pPr>
              <w:spacing w:after="0" w:line="259" w:lineRule="auto"/>
              <w:ind w:left="0" w:right="105" w:firstLine="0"/>
              <w:jc w:val="right"/>
            </w:pPr>
            <w:r>
              <w:rPr>
                <w:sz w:val="22"/>
              </w:rPr>
              <w:t xml:space="preserve">80.11 </w:t>
            </w:r>
          </w:p>
        </w:tc>
      </w:tr>
      <w:tr w:rsidR="002C26E2" w14:paraId="14AB3A9D" w14:textId="77777777">
        <w:trPr>
          <w:trHeight w:val="320"/>
        </w:trPr>
        <w:tc>
          <w:tcPr>
            <w:tcW w:w="1830" w:type="dxa"/>
            <w:tcBorders>
              <w:top w:val="nil"/>
              <w:left w:val="single" w:sz="8" w:space="0" w:color="000000"/>
              <w:bottom w:val="nil"/>
              <w:right w:val="single" w:sz="4" w:space="0" w:color="000000"/>
            </w:tcBorders>
          </w:tcPr>
          <w:p w14:paraId="25F31682" w14:textId="77777777" w:rsidR="002C26E2" w:rsidRDefault="00812CB4">
            <w:pPr>
              <w:spacing w:after="0" w:line="259" w:lineRule="auto"/>
              <w:ind w:left="0" w:firstLine="0"/>
            </w:pPr>
            <w:r>
              <w:rPr>
                <w:sz w:val="22"/>
              </w:rPr>
              <w:t xml:space="preserve">Solicitor </w:t>
            </w:r>
          </w:p>
        </w:tc>
        <w:tc>
          <w:tcPr>
            <w:tcW w:w="1531" w:type="dxa"/>
            <w:tcBorders>
              <w:top w:val="nil"/>
              <w:left w:val="single" w:sz="4" w:space="0" w:color="000000"/>
              <w:bottom w:val="nil"/>
              <w:right w:val="single" w:sz="4" w:space="0" w:color="000000"/>
            </w:tcBorders>
          </w:tcPr>
          <w:p w14:paraId="79B32FB2" w14:textId="77777777" w:rsidR="002C26E2" w:rsidRDefault="00812CB4">
            <w:pPr>
              <w:spacing w:after="0" w:line="259" w:lineRule="auto"/>
              <w:ind w:left="0" w:right="106" w:firstLine="0"/>
              <w:jc w:val="right"/>
            </w:pPr>
            <w:r>
              <w:rPr>
                <w:sz w:val="22"/>
              </w:rPr>
              <w:t xml:space="preserve">153,639  </w:t>
            </w:r>
          </w:p>
        </w:tc>
        <w:tc>
          <w:tcPr>
            <w:tcW w:w="884" w:type="dxa"/>
            <w:tcBorders>
              <w:top w:val="nil"/>
              <w:left w:val="single" w:sz="4" w:space="0" w:color="000000"/>
              <w:bottom w:val="nil"/>
              <w:right w:val="single" w:sz="4" w:space="0" w:color="000000"/>
            </w:tcBorders>
          </w:tcPr>
          <w:p w14:paraId="6A39C1E3" w14:textId="77777777" w:rsidR="002C26E2" w:rsidRDefault="00812CB4">
            <w:pPr>
              <w:spacing w:after="0" w:line="259" w:lineRule="auto"/>
              <w:ind w:left="0" w:right="107" w:firstLine="0"/>
              <w:jc w:val="right"/>
            </w:pPr>
            <w:r>
              <w:rPr>
                <w:sz w:val="22"/>
              </w:rPr>
              <w:t xml:space="preserve">1,155  </w:t>
            </w:r>
          </w:p>
        </w:tc>
        <w:tc>
          <w:tcPr>
            <w:tcW w:w="950" w:type="dxa"/>
            <w:tcBorders>
              <w:top w:val="nil"/>
              <w:left w:val="single" w:sz="4" w:space="0" w:color="000000"/>
              <w:bottom w:val="nil"/>
              <w:right w:val="single" w:sz="4" w:space="0" w:color="000000"/>
            </w:tcBorders>
          </w:tcPr>
          <w:p w14:paraId="44D015FA" w14:textId="77777777" w:rsidR="002C26E2" w:rsidRDefault="00812CB4">
            <w:pPr>
              <w:spacing w:after="0" w:line="259" w:lineRule="auto"/>
              <w:ind w:left="64" w:firstLine="0"/>
            </w:pPr>
            <w:r>
              <w:rPr>
                <w:sz w:val="22"/>
              </w:rPr>
              <w:t xml:space="preserve">133.02  </w:t>
            </w:r>
          </w:p>
        </w:tc>
        <w:tc>
          <w:tcPr>
            <w:tcW w:w="1361" w:type="dxa"/>
            <w:tcBorders>
              <w:top w:val="nil"/>
              <w:left w:val="single" w:sz="4" w:space="0" w:color="000000"/>
              <w:bottom w:val="nil"/>
              <w:right w:val="single" w:sz="4" w:space="0" w:color="000000"/>
            </w:tcBorders>
          </w:tcPr>
          <w:p w14:paraId="7DE802F7" w14:textId="77777777" w:rsidR="002C26E2" w:rsidRDefault="00812CB4">
            <w:pPr>
              <w:spacing w:after="0" w:line="259" w:lineRule="auto"/>
              <w:ind w:left="0" w:right="107" w:firstLine="0"/>
              <w:jc w:val="right"/>
            </w:pPr>
            <w:r>
              <w:rPr>
                <w:sz w:val="22"/>
              </w:rPr>
              <w:t xml:space="preserve">166.28  </w:t>
            </w:r>
          </w:p>
        </w:tc>
        <w:tc>
          <w:tcPr>
            <w:tcW w:w="1284" w:type="dxa"/>
            <w:tcBorders>
              <w:top w:val="nil"/>
              <w:left w:val="single" w:sz="4" w:space="0" w:color="000000"/>
              <w:bottom w:val="nil"/>
              <w:right w:val="single" w:sz="4" w:space="0" w:color="000000"/>
            </w:tcBorders>
          </w:tcPr>
          <w:p w14:paraId="48C6B431" w14:textId="77777777" w:rsidR="002C26E2" w:rsidRDefault="00812CB4">
            <w:pPr>
              <w:spacing w:after="0" w:line="259" w:lineRule="auto"/>
              <w:ind w:left="0" w:right="105" w:firstLine="0"/>
              <w:jc w:val="right"/>
            </w:pPr>
            <w:r>
              <w:rPr>
                <w:sz w:val="22"/>
              </w:rPr>
              <w:t xml:space="preserve">50.0% </w:t>
            </w:r>
          </w:p>
        </w:tc>
        <w:tc>
          <w:tcPr>
            <w:tcW w:w="1384" w:type="dxa"/>
            <w:tcBorders>
              <w:top w:val="nil"/>
              <w:left w:val="single" w:sz="4" w:space="0" w:color="000000"/>
              <w:bottom w:val="nil"/>
              <w:right w:val="single" w:sz="8" w:space="0" w:color="000000"/>
            </w:tcBorders>
          </w:tcPr>
          <w:p w14:paraId="09FB9C63" w14:textId="77777777" w:rsidR="002C26E2" w:rsidRDefault="00812CB4">
            <w:pPr>
              <w:spacing w:after="0" w:line="259" w:lineRule="auto"/>
              <w:ind w:left="0" w:right="105" w:firstLine="0"/>
              <w:jc w:val="right"/>
            </w:pPr>
            <w:r>
              <w:rPr>
                <w:sz w:val="22"/>
              </w:rPr>
              <w:t xml:space="preserve">83.14 </w:t>
            </w:r>
          </w:p>
        </w:tc>
      </w:tr>
      <w:tr w:rsidR="002C26E2" w14:paraId="03F8DC38" w14:textId="77777777">
        <w:trPr>
          <w:trHeight w:val="501"/>
        </w:trPr>
        <w:tc>
          <w:tcPr>
            <w:tcW w:w="1830" w:type="dxa"/>
            <w:tcBorders>
              <w:top w:val="nil"/>
              <w:left w:val="single" w:sz="8" w:space="0" w:color="000000"/>
              <w:bottom w:val="nil"/>
              <w:right w:val="single" w:sz="4" w:space="0" w:color="000000"/>
            </w:tcBorders>
            <w:vAlign w:val="bottom"/>
          </w:tcPr>
          <w:p w14:paraId="07F458CE" w14:textId="77777777" w:rsidR="002C26E2" w:rsidRDefault="00812CB4">
            <w:pPr>
              <w:spacing w:after="65" w:line="259" w:lineRule="auto"/>
              <w:ind w:left="0" w:firstLine="0"/>
            </w:pPr>
            <w:r>
              <w:rPr>
                <w:sz w:val="22"/>
              </w:rPr>
              <w:t xml:space="preserve">Apprentice </w:t>
            </w:r>
          </w:p>
          <w:p w14:paraId="43FF7A0D" w14:textId="77777777" w:rsidR="002C26E2" w:rsidRDefault="00812CB4">
            <w:pPr>
              <w:spacing w:after="0" w:line="259" w:lineRule="auto"/>
              <w:ind w:left="0" w:firstLine="0"/>
            </w:pPr>
            <w:r>
              <w:rPr>
                <w:sz w:val="22"/>
              </w:rPr>
              <w:t xml:space="preserve"> </w:t>
            </w:r>
          </w:p>
        </w:tc>
        <w:tc>
          <w:tcPr>
            <w:tcW w:w="1531" w:type="dxa"/>
            <w:tcBorders>
              <w:top w:val="nil"/>
              <w:left w:val="single" w:sz="4" w:space="0" w:color="000000"/>
              <w:bottom w:val="nil"/>
              <w:right w:val="single" w:sz="4" w:space="0" w:color="000000"/>
            </w:tcBorders>
            <w:vAlign w:val="bottom"/>
          </w:tcPr>
          <w:p w14:paraId="3AFA2CCC" w14:textId="77777777" w:rsidR="002C26E2" w:rsidRDefault="00812CB4">
            <w:pPr>
              <w:spacing w:after="65" w:line="259" w:lineRule="auto"/>
              <w:ind w:left="0" w:right="106" w:firstLine="0"/>
              <w:jc w:val="right"/>
            </w:pPr>
            <w:r>
              <w:rPr>
                <w:sz w:val="22"/>
              </w:rPr>
              <w:t xml:space="preserve">82,842  </w:t>
            </w:r>
          </w:p>
          <w:p w14:paraId="2A95736A" w14:textId="77777777" w:rsidR="002C26E2" w:rsidRDefault="00812CB4">
            <w:pPr>
              <w:spacing w:after="0" w:line="259" w:lineRule="auto"/>
              <w:ind w:left="4" w:firstLine="0"/>
            </w:pPr>
            <w:r>
              <w:rPr>
                <w:sz w:val="22"/>
              </w:rPr>
              <w:t xml:space="preserve"> </w:t>
            </w:r>
          </w:p>
        </w:tc>
        <w:tc>
          <w:tcPr>
            <w:tcW w:w="884" w:type="dxa"/>
            <w:tcBorders>
              <w:top w:val="nil"/>
              <w:left w:val="single" w:sz="4" w:space="0" w:color="000000"/>
              <w:bottom w:val="nil"/>
              <w:right w:val="single" w:sz="4" w:space="0" w:color="000000"/>
            </w:tcBorders>
            <w:vAlign w:val="bottom"/>
          </w:tcPr>
          <w:p w14:paraId="4279732A" w14:textId="77777777" w:rsidR="002C26E2" w:rsidRDefault="00812CB4">
            <w:pPr>
              <w:spacing w:after="65" w:line="259" w:lineRule="auto"/>
              <w:ind w:left="0" w:right="107" w:firstLine="0"/>
              <w:jc w:val="right"/>
            </w:pPr>
            <w:r>
              <w:rPr>
                <w:sz w:val="22"/>
              </w:rPr>
              <w:t xml:space="preserve">1,155  </w:t>
            </w:r>
          </w:p>
          <w:p w14:paraId="4843DAF0" w14:textId="77777777" w:rsidR="002C26E2" w:rsidRDefault="00812CB4">
            <w:pPr>
              <w:spacing w:after="0" w:line="259" w:lineRule="auto"/>
              <w:ind w:left="4" w:firstLine="0"/>
            </w:pPr>
            <w:r>
              <w:rPr>
                <w:sz w:val="22"/>
              </w:rPr>
              <w:t xml:space="preserve"> </w:t>
            </w:r>
          </w:p>
        </w:tc>
        <w:tc>
          <w:tcPr>
            <w:tcW w:w="950" w:type="dxa"/>
            <w:tcBorders>
              <w:top w:val="nil"/>
              <w:left w:val="single" w:sz="4" w:space="0" w:color="000000"/>
              <w:bottom w:val="nil"/>
              <w:right w:val="single" w:sz="4" w:space="0" w:color="000000"/>
            </w:tcBorders>
            <w:vAlign w:val="bottom"/>
          </w:tcPr>
          <w:p w14:paraId="6E330A5E" w14:textId="77777777" w:rsidR="002C26E2" w:rsidRDefault="00812CB4">
            <w:pPr>
              <w:spacing w:after="65" w:line="259" w:lineRule="auto"/>
              <w:ind w:left="0" w:right="106" w:firstLine="0"/>
              <w:jc w:val="right"/>
            </w:pPr>
            <w:r>
              <w:rPr>
                <w:sz w:val="22"/>
              </w:rPr>
              <w:t xml:space="preserve">71.72  </w:t>
            </w:r>
          </w:p>
          <w:p w14:paraId="3721A88B" w14:textId="77777777" w:rsidR="002C26E2" w:rsidRDefault="00812CB4">
            <w:pPr>
              <w:spacing w:after="0" w:line="259" w:lineRule="auto"/>
              <w:ind w:left="0" w:right="45" w:firstLine="0"/>
              <w:jc w:val="right"/>
            </w:pPr>
            <w:r>
              <w:rPr>
                <w:sz w:val="22"/>
              </w:rPr>
              <w:t xml:space="preserve"> </w:t>
            </w:r>
          </w:p>
        </w:tc>
        <w:tc>
          <w:tcPr>
            <w:tcW w:w="1361" w:type="dxa"/>
            <w:tcBorders>
              <w:top w:val="nil"/>
              <w:left w:val="single" w:sz="4" w:space="0" w:color="000000"/>
              <w:bottom w:val="nil"/>
              <w:right w:val="single" w:sz="4" w:space="0" w:color="000000"/>
            </w:tcBorders>
            <w:vAlign w:val="bottom"/>
          </w:tcPr>
          <w:p w14:paraId="214BA1A8" w14:textId="77777777" w:rsidR="002C26E2" w:rsidRDefault="00812CB4">
            <w:pPr>
              <w:spacing w:after="65" w:line="259" w:lineRule="auto"/>
              <w:ind w:left="0" w:right="107" w:firstLine="0"/>
              <w:jc w:val="right"/>
            </w:pPr>
            <w:r>
              <w:rPr>
                <w:sz w:val="22"/>
              </w:rPr>
              <w:t xml:space="preserve">89.66  </w:t>
            </w:r>
          </w:p>
          <w:p w14:paraId="6D85769B" w14:textId="77777777" w:rsidR="002C26E2" w:rsidRDefault="00812CB4">
            <w:pPr>
              <w:spacing w:after="0" w:line="259" w:lineRule="auto"/>
              <w:ind w:left="0" w:right="45" w:firstLine="0"/>
              <w:jc w:val="right"/>
            </w:pPr>
            <w:r>
              <w:rPr>
                <w:sz w:val="22"/>
              </w:rPr>
              <w:t xml:space="preserve"> </w:t>
            </w:r>
          </w:p>
        </w:tc>
        <w:tc>
          <w:tcPr>
            <w:tcW w:w="1284" w:type="dxa"/>
            <w:tcBorders>
              <w:top w:val="nil"/>
              <w:left w:val="single" w:sz="4" w:space="0" w:color="000000"/>
              <w:bottom w:val="nil"/>
              <w:right w:val="single" w:sz="4" w:space="0" w:color="000000"/>
            </w:tcBorders>
            <w:vAlign w:val="bottom"/>
          </w:tcPr>
          <w:p w14:paraId="34240A93" w14:textId="77777777" w:rsidR="002C26E2" w:rsidRDefault="00812CB4">
            <w:pPr>
              <w:spacing w:after="65" w:line="259" w:lineRule="auto"/>
              <w:ind w:left="0" w:right="105" w:firstLine="0"/>
              <w:jc w:val="right"/>
            </w:pPr>
            <w:r>
              <w:rPr>
                <w:sz w:val="22"/>
              </w:rPr>
              <w:t xml:space="preserve">10.0% </w:t>
            </w:r>
          </w:p>
          <w:p w14:paraId="65B68364" w14:textId="77777777" w:rsidR="002C26E2" w:rsidRDefault="00812CB4">
            <w:pPr>
              <w:spacing w:after="0" w:line="259" w:lineRule="auto"/>
              <w:ind w:left="4" w:firstLine="0"/>
            </w:pPr>
            <w:r>
              <w:rPr>
                <w:sz w:val="22"/>
              </w:rPr>
              <w:t xml:space="preserve"> </w:t>
            </w:r>
          </w:p>
        </w:tc>
        <w:tc>
          <w:tcPr>
            <w:tcW w:w="1384" w:type="dxa"/>
            <w:tcBorders>
              <w:top w:val="nil"/>
              <w:left w:val="single" w:sz="4" w:space="0" w:color="000000"/>
              <w:bottom w:val="nil"/>
              <w:right w:val="single" w:sz="8" w:space="0" w:color="000000"/>
            </w:tcBorders>
            <w:vAlign w:val="bottom"/>
          </w:tcPr>
          <w:p w14:paraId="25DB72F0" w14:textId="77777777" w:rsidR="002C26E2" w:rsidRDefault="00812CB4">
            <w:pPr>
              <w:spacing w:after="65" w:line="259" w:lineRule="auto"/>
              <w:ind w:left="0" w:right="106" w:firstLine="0"/>
              <w:jc w:val="right"/>
            </w:pPr>
            <w:r>
              <w:rPr>
                <w:sz w:val="22"/>
              </w:rPr>
              <w:t xml:space="preserve">8.97 </w:t>
            </w:r>
          </w:p>
          <w:p w14:paraId="6ED53255" w14:textId="77777777" w:rsidR="002C26E2" w:rsidRDefault="00812CB4">
            <w:pPr>
              <w:spacing w:after="0" w:line="259" w:lineRule="auto"/>
              <w:ind w:left="0" w:right="44" w:firstLine="0"/>
              <w:jc w:val="right"/>
            </w:pPr>
            <w:r>
              <w:rPr>
                <w:sz w:val="22"/>
              </w:rPr>
              <w:t xml:space="preserve"> </w:t>
            </w:r>
          </w:p>
        </w:tc>
      </w:tr>
      <w:tr w:rsidR="002C26E2" w14:paraId="2C2887AF" w14:textId="77777777">
        <w:trPr>
          <w:trHeight w:val="454"/>
        </w:trPr>
        <w:tc>
          <w:tcPr>
            <w:tcW w:w="1830" w:type="dxa"/>
            <w:tcBorders>
              <w:top w:val="nil"/>
              <w:left w:val="single" w:sz="8" w:space="0" w:color="000000"/>
              <w:bottom w:val="single" w:sz="8" w:space="0" w:color="000000"/>
              <w:right w:val="single" w:sz="4" w:space="0" w:color="000000"/>
            </w:tcBorders>
            <w:vAlign w:val="bottom"/>
          </w:tcPr>
          <w:p w14:paraId="7D251533" w14:textId="77777777" w:rsidR="002C26E2" w:rsidRDefault="00812CB4">
            <w:pPr>
              <w:spacing w:after="0" w:line="259" w:lineRule="auto"/>
              <w:ind w:left="0" w:firstLine="0"/>
            </w:pPr>
            <w:r>
              <w:rPr>
                <w:sz w:val="22"/>
              </w:rPr>
              <w:t xml:space="preserve">  </w:t>
            </w:r>
          </w:p>
        </w:tc>
        <w:tc>
          <w:tcPr>
            <w:tcW w:w="1531" w:type="dxa"/>
            <w:tcBorders>
              <w:top w:val="nil"/>
              <w:left w:val="single" w:sz="4" w:space="0" w:color="000000"/>
              <w:bottom w:val="single" w:sz="8" w:space="0" w:color="000000"/>
              <w:right w:val="single" w:sz="4" w:space="0" w:color="000000"/>
            </w:tcBorders>
            <w:vAlign w:val="bottom"/>
          </w:tcPr>
          <w:p w14:paraId="12AB42F6" w14:textId="77777777" w:rsidR="002C26E2" w:rsidRDefault="00812CB4">
            <w:pPr>
              <w:spacing w:after="0" w:line="259" w:lineRule="auto"/>
              <w:ind w:left="4" w:firstLine="0"/>
            </w:pPr>
            <w:r>
              <w:rPr>
                <w:sz w:val="22"/>
              </w:rPr>
              <w:t xml:space="preserve">  </w:t>
            </w:r>
          </w:p>
        </w:tc>
        <w:tc>
          <w:tcPr>
            <w:tcW w:w="884" w:type="dxa"/>
            <w:tcBorders>
              <w:top w:val="nil"/>
              <w:left w:val="single" w:sz="4" w:space="0" w:color="000000"/>
              <w:bottom w:val="single" w:sz="8" w:space="0" w:color="000000"/>
              <w:right w:val="single" w:sz="4" w:space="0" w:color="000000"/>
            </w:tcBorders>
            <w:vAlign w:val="bottom"/>
          </w:tcPr>
          <w:p w14:paraId="4F348D8A" w14:textId="77777777" w:rsidR="002C26E2" w:rsidRDefault="00812CB4">
            <w:pPr>
              <w:spacing w:after="0" w:line="259" w:lineRule="auto"/>
              <w:ind w:left="4" w:firstLine="0"/>
            </w:pPr>
            <w:r>
              <w:rPr>
                <w:sz w:val="22"/>
              </w:rPr>
              <w:t xml:space="preserve">  </w:t>
            </w:r>
          </w:p>
        </w:tc>
        <w:tc>
          <w:tcPr>
            <w:tcW w:w="950" w:type="dxa"/>
            <w:tcBorders>
              <w:top w:val="nil"/>
              <w:left w:val="single" w:sz="4" w:space="0" w:color="000000"/>
              <w:bottom w:val="single" w:sz="8" w:space="0" w:color="000000"/>
              <w:right w:val="single" w:sz="4" w:space="0" w:color="000000"/>
            </w:tcBorders>
            <w:vAlign w:val="bottom"/>
          </w:tcPr>
          <w:p w14:paraId="2E26CD7C" w14:textId="77777777" w:rsidR="002C26E2" w:rsidRDefault="00812CB4">
            <w:pPr>
              <w:spacing w:after="0" w:line="259" w:lineRule="auto"/>
              <w:ind w:left="64" w:firstLine="0"/>
            </w:pPr>
            <w:r>
              <w:rPr>
                <w:sz w:val="22"/>
              </w:rPr>
              <w:t xml:space="preserve">121.65  </w:t>
            </w:r>
          </w:p>
        </w:tc>
        <w:tc>
          <w:tcPr>
            <w:tcW w:w="1361" w:type="dxa"/>
            <w:tcBorders>
              <w:top w:val="nil"/>
              <w:left w:val="single" w:sz="4" w:space="0" w:color="000000"/>
              <w:bottom w:val="single" w:sz="8" w:space="0" w:color="000000"/>
              <w:right w:val="single" w:sz="4" w:space="0" w:color="000000"/>
            </w:tcBorders>
            <w:vAlign w:val="bottom"/>
          </w:tcPr>
          <w:p w14:paraId="21A5EC89" w14:textId="77777777" w:rsidR="002C26E2" w:rsidRDefault="00812CB4">
            <w:pPr>
              <w:spacing w:after="0" w:line="259" w:lineRule="auto"/>
              <w:ind w:left="0" w:right="107" w:firstLine="0"/>
              <w:jc w:val="right"/>
            </w:pPr>
            <w:r>
              <w:rPr>
                <w:sz w:val="22"/>
              </w:rPr>
              <w:t xml:space="preserve">152.07  </w:t>
            </w:r>
          </w:p>
        </w:tc>
        <w:tc>
          <w:tcPr>
            <w:tcW w:w="1284" w:type="dxa"/>
            <w:tcBorders>
              <w:top w:val="nil"/>
              <w:left w:val="single" w:sz="4" w:space="0" w:color="000000"/>
              <w:bottom w:val="single" w:sz="8" w:space="0" w:color="000000"/>
              <w:right w:val="single" w:sz="4" w:space="0" w:color="000000"/>
            </w:tcBorders>
            <w:vAlign w:val="bottom"/>
          </w:tcPr>
          <w:p w14:paraId="756FF91E" w14:textId="77777777" w:rsidR="002C26E2" w:rsidRDefault="00812CB4">
            <w:pPr>
              <w:spacing w:after="0" w:line="259" w:lineRule="auto"/>
              <w:ind w:left="4" w:firstLine="0"/>
            </w:pPr>
            <w:r>
              <w:rPr>
                <w:sz w:val="22"/>
              </w:rPr>
              <w:t xml:space="preserve">  </w:t>
            </w:r>
          </w:p>
        </w:tc>
        <w:tc>
          <w:tcPr>
            <w:tcW w:w="1384" w:type="dxa"/>
            <w:tcBorders>
              <w:top w:val="nil"/>
              <w:left w:val="single" w:sz="4" w:space="0" w:color="000000"/>
              <w:bottom w:val="single" w:sz="8" w:space="0" w:color="000000"/>
              <w:right w:val="single" w:sz="8" w:space="0" w:color="000000"/>
            </w:tcBorders>
            <w:vAlign w:val="bottom"/>
          </w:tcPr>
          <w:p w14:paraId="63B4DA53" w14:textId="77777777" w:rsidR="002C26E2" w:rsidRDefault="00812CB4">
            <w:pPr>
              <w:spacing w:after="0" w:line="259" w:lineRule="auto"/>
              <w:ind w:left="0" w:right="105" w:firstLine="0"/>
              <w:jc w:val="right"/>
            </w:pPr>
            <w:r>
              <w:rPr>
                <w:sz w:val="22"/>
              </w:rPr>
              <w:t xml:space="preserve">172.21 </w:t>
            </w:r>
          </w:p>
        </w:tc>
      </w:tr>
    </w:tbl>
    <w:p w14:paraId="29E9FCC6" w14:textId="77777777" w:rsidR="002C26E2" w:rsidRDefault="00812CB4">
      <w:pPr>
        <w:spacing w:after="276" w:line="259" w:lineRule="auto"/>
        <w:ind w:left="12" w:firstLine="0"/>
      </w:pPr>
      <w:r>
        <w:t xml:space="preserve"> </w:t>
      </w:r>
    </w:p>
    <w:p w14:paraId="1092F440" w14:textId="77777777" w:rsidR="002C26E2" w:rsidRDefault="00812CB4">
      <w:pPr>
        <w:spacing w:after="152"/>
        <w:ind w:left="7" w:right="225"/>
      </w:pPr>
      <w:r>
        <w:t xml:space="preserve">Typical practice overheads have been allocated across all grades of staff, from partner/director to solicitors and apprentices.  </w:t>
      </w:r>
    </w:p>
    <w:p w14:paraId="70B0F731" w14:textId="77777777" w:rsidR="002C26E2" w:rsidRDefault="00812CB4">
      <w:pPr>
        <w:ind w:left="7" w:right="225"/>
      </w:pPr>
      <w:r>
        <w:t xml:space="preserve">In the above analysis, we have calculated Senior Solicitors rates of £200, Solicitors at £166, and Apprentices or similar fee earners at £90.  That would provide us with an updated average blended rate of £152 per hour. Note that all rates have been rounded to the nearest pound. </w:t>
      </w:r>
    </w:p>
    <w:p w14:paraId="5007F8A1" w14:textId="77777777" w:rsidR="002C26E2" w:rsidRDefault="00812CB4">
      <w:pPr>
        <w:spacing w:after="272"/>
        <w:ind w:left="7" w:right="225"/>
      </w:pPr>
      <w:r>
        <w:t xml:space="preserve">However, we accept that a simple average blended rate may not reflect the reality of the work delivered under Exceptional Preparation. </w:t>
      </w:r>
    </w:p>
    <w:p w14:paraId="5CDA0CA2" w14:textId="77777777" w:rsidR="002C26E2" w:rsidRDefault="00812CB4">
      <w:pPr>
        <w:spacing w:after="397" w:line="259" w:lineRule="auto"/>
        <w:ind w:left="7" w:right="225"/>
      </w:pPr>
      <w:r>
        <w:t xml:space="preserve">A </w:t>
      </w:r>
      <w:r>
        <w:rPr>
          <w:b/>
        </w:rPr>
        <w:t>weighted blended rate</w:t>
      </w:r>
      <w:r>
        <w:t xml:space="preserve"> was then applied, based on an informed assumption of: </w:t>
      </w:r>
    </w:p>
    <w:p w14:paraId="34237C04" w14:textId="77777777" w:rsidR="002C26E2" w:rsidRDefault="00812CB4">
      <w:pPr>
        <w:numPr>
          <w:ilvl w:val="0"/>
          <w:numId w:val="48"/>
        </w:numPr>
        <w:spacing w:after="119" w:line="259" w:lineRule="auto"/>
        <w:ind w:right="225" w:hanging="360"/>
      </w:pPr>
      <w:r>
        <w:t xml:space="preserve">40% Senior Solicitor time; </w:t>
      </w:r>
    </w:p>
    <w:p w14:paraId="50598523" w14:textId="77777777" w:rsidR="002C26E2" w:rsidRDefault="00812CB4">
      <w:pPr>
        <w:numPr>
          <w:ilvl w:val="0"/>
          <w:numId w:val="48"/>
        </w:numPr>
        <w:spacing w:after="116" w:line="259" w:lineRule="auto"/>
        <w:ind w:right="225" w:hanging="360"/>
      </w:pPr>
      <w:r>
        <w:t xml:space="preserve">50% Solicitor time; and </w:t>
      </w:r>
    </w:p>
    <w:p w14:paraId="155567D5" w14:textId="77777777" w:rsidR="002C26E2" w:rsidRDefault="00812CB4">
      <w:pPr>
        <w:numPr>
          <w:ilvl w:val="0"/>
          <w:numId w:val="48"/>
        </w:numPr>
        <w:spacing w:after="398" w:line="259" w:lineRule="auto"/>
        <w:ind w:right="225" w:hanging="360"/>
      </w:pPr>
      <w:r>
        <w:t xml:space="preserve">10% Apprentice / equivalent time. </w:t>
      </w:r>
    </w:p>
    <w:p w14:paraId="087D213C" w14:textId="77777777" w:rsidR="002C26E2" w:rsidRDefault="00812CB4">
      <w:pPr>
        <w:spacing w:after="468"/>
        <w:ind w:left="7" w:right="225"/>
      </w:pPr>
      <w:r>
        <w:t xml:space="preserve">This produced a blended and weighted hourly rate of </w:t>
      </w:r>
      <w:r>
        <w:rPr>
          <w:b/>
        </w:rPr>
        <w:t>£172 per hour</w:t>
      </w:r>
      <w:r>
        <w:t xml:space="preserve">. </w:t>
      </w:r>
    </w:p>
    <w:p w14:paraId="4370BFE2" w14:textId="77777777" w:rsidR="002C26E2" w:rsidRDefault="00812CB4">
      <w:pPr>
        <w:pStyle w:val="Heading2"/>
        <w:spacing w:after="390"/>
        <w:ind w:left="849" w:right="200" w:hanging="852"/>
      </w:pPr>
      <w:bookmarkStart w:id="59" w:name="_Toc107597"/>
      <w:r>
        <w:rPr>
          <w:color w:val="004E9A"/>
          <w:sz w:val="28"/>
        </w:rPr>
        <w:t>C</w:t>
      </w:r>
      <w:r>
        <w:rPr>
          <w:color w:val="004E9A"/>
        </w:rPr>
        <w:t>ONCLUSIONS ON SOLICITOR HOURLY RATES</w:t>
      </w:r>
      <w:r>
        <w:rPr>
          <w:color w:val="004E9A"/>
          <w:sz w:val="28"/>
        </w:rPr>
        <w:t xml:space="preserve"> </w:t>
      </w:r>
      <w:bookmarkEnd w:id="59"/>
    </w:p>
    <w:p w14:paraId="577E06B5" w14:textId="77777777" w:rsidR="002C26E2" w:rsidRDefault="00812CB4">
      <w:pPr>
        <w:spacing w:after="396" w:line="259" w:lineRule="auto"/>
        <w:ind w:left="7" w:right="225"/>
      </w:pPr>
      <w:r>
        <w:t xml:space="preserve">The Review Team concludes that: </w:t>
      </w:r>
    </w:p>
    <w:p w14:paraId="18D44425" w14:textId="77777777" w:rsidR="002C26E2" w:rsidRDefault="00812CB4">
      <w:pPr>
        <w:numPr>
          <w:ilvl w:val="0"/>
          <w:numId w:val="49"/>
        </w:numPr>
        <w:spacing w:after="0"/>
        <w:ind w:right="225" w:hanging="360"/>
      </w:pPr>
      <w:r>
        <w:t xml:space="preserve">the BDO and SIB reviews, supported by the PwC Annual Legal Survey, provide a credible evidential starting point for determining solicitor hourly rates; </w:t>
      </w:r>
    </w:p>
    <w:p w14:paraId="2246F29F" w14:textId="77777777" w:rsidR="002C26E2" w:rsidRDefault="00812CB4">
      <w:pPr>
        <w:numPr>
          <w:ilvl w:val="0"/>
          <w:numId w:val="49"/>
        </w:numPr>
        <w:spacing w:after="0"/>
        <w:ind w:right="225" w:hanging="360"/>
      </w:pPr>
      <w:r>
        <w:t xml:space="preserve">a blended and weighted rate is more realistic than a simple average rate, reflecting how work is delivered in practice; </w:t>
      </w:r>
    </w:p>
    <w:p w14:paraId="16D67390" w14:textId="77777777" w:rsidR="002C26E2" w:rsidRDefault="00812CB4">
      <w:pPr>
        <w:numPr>
          <w:ilvl w:val="0"/>
          <w:numId w:val="49"/>
        </w:numPr>
        <w:spacing w:after="0"/>
        <w:ind w:right="225" w:hanging="360"/>
      </w:pPr>
      <w:r>
        <w:t xml:space="preserve">the SCBA request for £225 per hour is not supported by robust or validated evidence; and </w:t>
      </w:r>
    </w:p>
    <w:p w14:paraId="3C1C1ED3" w14:textId="77777777" w:rsidR="002C26E2" w:rsidRDefault="00812CB4">
      <w:pPr>
        <w:numPr>
          <w:ilvl w:val="0"/>
          <w:numId w:val="49"/>
        </w:numPr>
        <w:spacing w:after="449"/>
        <w:ind w:right="225" w:hanging="360"/>
      </w:pPr>
      <w:r>
        <w:t xml:space="preserve">£172 per hour represents a reasonable, evidence-based rate for Exceptional Preparation by solicitors in the Crown Court. </w:t>
      </w:r>
    </w:p>
    <w:p w14:paraId="1DD75162" w14:textId="77777777" w:rsidR="002C26E2" w:rsidRDefault="00812CB4">
      <w:pPr>
        <w:pStyle w:val="Heading2"/>
        <w:ind w:left="849" w:right="200" w:hanging="852"/>
      </w:pPr>
      <w:bookmarkStart w:id="60" w:name="_Toc107598"/>
      <w:r>
        <w:rPr>
          <w:color w:val="004E9A"/>
          <w:sz w:val="28"/>
        </w:rPr>
        <w:t>R</w:t>
      </w:r>
      <w:r>
        <w:rPr>
          <w:color w:val="004E9A"/>
        </w:rPr>
        <w:t>ECOMMENDATIONS</w:t>
      </w:r>
      <w:r>
        <w:rPr>
          <w:color w:val="004E9A"/>
          <w:sz w:val="28"/>
        </w:rPr>
        <w:t>:</w:t>
      </w:r>
      <w:r>
        <w:rPr>
          <w:color w:val="004E9A"/>
        </w:rPr>
        <w:t xml:space="preserve"> </w:t>
      </w:r>
      <w:r>
        <w:rPr>
          <w:color w:val="004E9A"/>
          <w:sz w:val="28"/>
        </w:rPr>
        <w:t>S</w:t>
      </w:r>
      <w:r>
        <w:rPr>
          <w:color w:val="004E9A"/>
        </w:rPr>
        <w:t xml:space="preserve">OLICITORS </w:t>
      </w:r>
      <w:r>
        <w:rPr>
          <w:color w:val="004E9A"/>
          <w:sz w:val="28"/>
        </w:rPr>
        <w:t>(E</w:t>
      </w:r>
      <w:r>
        <w:rPr>
          <w:color w:val="004E9A"/>
        </w:rPr>
        <w:t xml:space="preserve">XCEPTIONAL </w:t>
      </w:r>
      <w:r>
        <w:rPr>
          <w:color w:val="004E9A"/>
          <w:sz w:val="28"/>
        </w:rPr>
        <w:t>P</w:t>
      </w:r>
      <w:r>
        <w:rPr>
          <w:color w:val="004E9A"/>
        </w:rPr>
        <w:t>REPARATION</w:t>
      </w:r>
      <w:r>
        <w:rPr>
          <w:color w:val="004E9A"/>
          <w:sz w:val="28"/>
        </w:rPr>
        <w:t xml:space="preserve">) </w:t>
      </w:r>
      <w:bookmarkEnd w:id="60"/>
    </w:p>
    <w:p w14:paraId="6859D013" w14:textId="77777777" w:rsidR="002C26E2" w:rsidRDefault="00812CB4">
      <w:pPr>
        <w:spacing w:after="232" w:line="263" w:lineRule="auto"/>
        <w:ind w:left="7"/>
      </w:pPr>
      <w:r>
        <w:rPr>
          <w:b/>
          <w:u w:val="single" w:color="000000"/>
        </w:rPr>
        <w:t>Recommendation 9:</w:t>
      </w:r>
      <w:r>
        <w:rPr>
          <w:b/>
        </w:rPr>
        <w:t xml:space="preserve">  </w:t>
      </w:r>
    </w:p>
    <w:p w14:paraId="589060F0" w14:textId="77777777" w:rsidR="002C26E2" w:rsidRDefault="00812CB4">
      <w:pPr>
        <w:ind w:left="7" w:right="225"/>
      </w:pPr>
      <w:r>
        <w:t xml:space="preserve">For Exceptional Preparation undertaken by solicitors in the Crown Court, a blended and weighted hourly rate of </w:t>
      </w:r>
      <w:r>
        <w:rPr>
          <w:b/>
        </w:rPr>
        <w:t>£172 per hour</w:t>
      </w:r>
      <w:r>
        <w:t xml:space="preserve"> should be adopted. </w:t>
      </w:r>
    </w:p>
    <w:p w14:paraId="63E4A2C3" w14:textId="77777777" w:rsidR="00444ECE" w:rsidRDefault="00444ECE">
      <w:pPr>
        <w:spacing w:after="232" w:line="263" w:lineRule="auto"/>
        <w:ind w:left="7"/>
        <w:rPr>
          <w:b/>
          <w:u w:val="single" w:color="000000"/>
        </w:rPr>
      </w:pPr>
    </w:p>
    <w:p w14:paraId="53211F63" w14:textId="77777777" w:rsidR="00444ECE" w:rsidRDefault="00444ECE">
      <w:pPr>
        <w:spacing w:after="232" w:line="263" w:lineRule="auto"/>
        <w:ind w:left="7"/>
        <w:rPr>
          <w:b/>
          <w:u w:val="single" w:color="000000"/>
        </w:rPr>
      </w:pPr>
    </w:p>
    <w:p w14:paraId="35E3B094" w14:textId="55450016" w:rsidR="002C26E2" w:rsidRDefault="00812CB4">
      <w:pPr>
        <w:spacing w:after="232" w:line="263" w:lineRule="auto"/>
        <w:ind w:left="7"/>
      </w:pPr>
      <w:r>
        <w:rPr>
          <w:b/>
          <w:u w:val="single" w:color="000000"/>
        </w:rPr>
        <w:t>Recommendation 10:</w:t>
      </w:r>
      <w:r>
        <w:rPr>
          <w:b/>
        </w:rPr>
        <w:t xml:space="preserve">  </w:t>
      </w:r>
    </w:p>
    <w:p w14:paraId="7AF9EBFD" w14:textId="77777777" w:rsidR="002C26E2" w:rsidRDefault="00812CB4">
      <w:pPr>
        <w:spacing w:after="0"/>
        <w:ind w:left="7" w:right="225"/>
      </w:pPr>
      <w:r>
        <w:t xml:space="preserve">Alternatively, individual hourly rates by grade may be applied under a time-and-rate model, as follows: </w:t>
      </w:r>
    </w:p>
    <w:p w14:paraId="60DF3B06" w14:textId="77777777" w:rsidR="002C26E2" w:rsidRDefault="00812CB4">
      <w:pPr>
        <w:numPr>
          <w:ilvl w:val="0"/>
          <w:numId w:val="50"/>
        </w:numPr>
        <w:spacing w:after="117" w:line="259" w:lineRule="auto"/>
        <w:ind w:right="225" w:hanging="360"/>
      </w:pPr>
      <w:r>
        <w:t xml:space="preserve">Senior Solicitor: </w:t>
      </w:r>
      <w:r>
        <w:rPr>
          <w:b/>
        </w:rPr>
        <w:t>£200 per hour</w:t>
      </w:r>
      <w:r>
        <w:t xml:space="preserve"> </w:t>
      </w:r>
    </w:p>
    <w:p w14:paraId="6EE84798" w14:textId="77777777" w:rsidR="002C26E2" w:rsidRDefault="00812CB4">
      <w:pPr>
        <w:numPr>
          <w:ilvl w:val="0"/>
          <w:numId w:val="50"/>
        </w:numPr>
        <w:spacing w:after="113" w:line="265" w:lineRule="auto"/>
        <w:ind w:right="225" w:hanging="360"/>
      </w:pPr>
      <w:r>
        <w:t xml:space="preserve">Solicitor: </w:t>
      </w:r>
      <w:r>
        <w:rPr>
          <w:b/>
        </w:rPr>
        <w:t>£166 per hour</w:t>
      </w:r>
      <w:r>
        <w:t xml:space="preserve"> </w:t>
      </w:r>
    </w:p>
    <w:p w14:paraId="600F7A11" w14:textId="77777777" w:rsidR="002C26E2" w:rsidRDefault="00812CB4">
      <w:pPr>
        <w:numPr>
          <w:ilvl w:val="0"/>
          <w:numId w:val="50"/>
        </w:numPr>
        <w:spacing w:after="358" w:line="259" w:lineRule="auto"/>
        <w:ind w:right="225" w:hanging="360"/>
      </w:pPr>
      <w:r>
        <w:t xml:space="preserve">Apprentice or equivalent fee earner: </w:t>
      </w:r>
      <w:r>
        <w:rPr>
          <w:b/>
        </w:rPr>
        <w:t>£90 per hour</w:t>
      </w:r>
      <w:r>
        <w:t xml:space="preserve"> </w:t>
      </w:r>
    </w:p>
    <w:p w14:paraId="4CCAD516" w14:textId="77777777" w:rsidR="002C26E2" w:rsidRDefault="00812CB4">
      <w:pPr>
        <w:spacing w:after="109" w:line="265" w:lineRule="auto"/>
        <w:ind w:left="7"/>
      </w:pPr>
      <w:r>
        <w:rPr>
          <w:u w:val="single" w:color="000000"/>
        </w:rPr>
        <w:t>Costs</w:t>
      </w:r>
      <w:r>
        <w:t xml:space="preserve"> </w:t>
      </w:r>
    </w:p>
    <w:p w14:paraId="1C5D90F3" w14:textId="77777777" w:rsidR="002C26E2" w:rsidRDefault="00812CB4">
      <w:pPr>
        <w:spacing w:after="300"/>
        <w:ind w:left="7" w:right="225"/>
      </w:pPr>
      <w:r>
        <w:t xml:space="preserve">It is forecast that implementation of recommendations 9 and 10 will lead to additional legal aid costs per year of £1,171k </w:t>
      </w:r>
    </w:p>
    <w:p w14:paraId="4C8E7997" w14:textId="77777777" w:rsidR="002C26E2" w:rsidRDefault="00812CB4">
      <w:pPr>
        <w:spacing w:after="0" w:line="259" w:lineRule="auto"/>
        <w:ind w:left="12" w:firstLine="0"/>
      </w:pPr>
      <w:r>
        <w:rPr>
          <w:color w:val="004E9A"/>
        </w:rPr>
        <w:t xml:space="preserve"> </w:t>
      </w:r>
      <w:r>
        <w:rPr>
          <w:color w:val="004E9A"/>
        </w:rPr>
        <w:tab/>
      </w:r>
      <w:r>
        <w:rPr>
          <w:b/>
          <w:color w:val="004E9A"/>
          <w:sz w:val="36"/>
        </w:rPr>
        <w:t xml:space="preserve"> </w:t>
      </w:r>
      <w:r>
        <w:br w:type="page"/>
      </w:r>
    </w:p>
    <w:p w14:paraId="10DB825B" w14:textId="77777777" w:rsidR="002C26E2" w:rsidRDefault="00812CB4">
      <w:pPr>
        <w:pStyle w:val="Heading1"/>
        <w:spacing w:after="0" w:line="259" w:lineRule="auto"/>
        <w:ind w:left="849" w:hanging="852"/>
      </w:pPr>
      <w:bookmarkStart w:id="61" w:name="_Toc107599"/>
      <w:r>
        <w:rPr>
          <w:color w:val="004E9A"/>
          <w:sz w:val="36"/>
        </w:rPr>
        <w:t>S</w:t>
      </w:r>
      <w:r>
        <w:rPr>
          <w:color w:val="004E9A"/>
          <w:sz w:val="29"/>
        </w:rPr>
        <w:t>KELETON SENTENCING ARGUMENTS</w:t>
      </w:r>
      <w:r>
        <w:rPr>
          <w:color w:val="004E9A"/>
          <w:sz w:val="36"/>
        </w:rPr>
        <w:t xml:space="preserve"> </w:t>
      </w:r>
      <w:bookmarkEnd w:id="61"/>
    </w:p>
    <w:p w14:paraId="50249122" w14:textId="77777777" w:rsidR="002C26E2" w:rsidRDefault="00812CB4">
      <w:pPr>
        <w:spacing w:after="212" w:line="259" w:lineRule="auto"/>
        <w:ind w:left="-17" w:firstLine="0"/>
      </w:pPr>
      <w:r>
        <w:rPr>
          <w:rFonts w:ascii="Calibri" w:eastAsia="Calibri" w:hAnsi="Calibri" w:cs="Calibri"/>
          <w:noProof/>
          <w:sz w:val="22"/>
        </w:rPr>
        <mc:AlternateContent>
          <mc:Choice Requires="wpg">
            <w:drawing>
              <wp:inline distT="0" distB="0" distL="0" distR="0" wp14:anchorId="731A0604" wp14:editId="4865AAA8">
                <wp:extent cx="5769610" cy="6096"/>
                <wp:effectExtent l="0" t="0" r="0" b="0"/>
                <wp:docPr id="97409" name="Group 97409"/>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11" name="Shape 110011"/>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97409" style="width:454.3pt;height:0.47998pt;mso-position-horizontal-relative:char;mso-position-vertical-relative:line" coordsize="57696,60">
                <v:shape id="Shape 110012"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25E0A869" w14:textId="77777777" w:rsidR="002C26E2" w:rsidRDefault="00812CB4">
      <w:pPr>
        <w:spacing w:after="446"/>
        <w:ind w:left="7" w:right="225"/>
      </w:pPr>
      <w:r>
        <w:t xml:space="preserve">This section considers the remuneration of </w:t>
      </w:r>
      <w:r>
        <w:rPr>
          <w:b/>
        </w:rPr>
        <w:t>sentencing skeleton arguments</w:t>
      </w:r>
      <w:r>
        <w:t xml:space="preserve"> </w:t>
      </w:r>
      <w:r>
        <w:t xml:space="preserve">in criminal proceedings, assesses the requests advanced in the Submissions (particularly those made by the Criminal Bar Association), evaluates the evidential </w:t>
      </w:r>
      <w:r>
        <w:t xml:space="preserve">basis for those requests, and sets out the Review Team’s conclusions and </w:t>
      </w:r>
      <w:r>
        <w:t xml:space="preserve">recommendations within the scope of the Accelerated Review. </w:t>
      </w:r>
    </w:p>
    <w:p w14:paraId="36A97C91" w14:textId="77777777" w:rsidR="002C26E2" w:rsidRDefault="00812CB4">
      <w:pPr>
        <w:pStyle w:val="Heading2"/>
        <w:ind w:left="849" w:right="200" w:hanging="852"/>
      </w:pPr>
      <w:bookmarkStart w:id="62" w:name="_Toc107600"/>
      <w:r>
        <w:rPr>
          <w:color w:val="004E9A"/>
          <w:sz w:val="28"/>
        </w:rPr>
        <w:t>E</w:t>
      </w:r>
      <w:r>
        <w:rPr>
          <w:color w:val="004E9A"/>
        </w:rPr>
        <w:t>XISTING POSITION</w:t>
      </w:r>
      <w:r>
        <w:rPr>
          <w:color w:val="004E9A"/>
          <w:sz w:val="28"/>
        </w:rPr>
        <w:t xml:space="preserve"> </w:t>
      </w:r>
      <w:bookmarkEnd w:id="62"/>
    </w:p>
    <w:p w14:paraId="1F1C97E6" w14:textId="77777777" w:rsidR="002C26E2" w:rsidRDefault="00812CB4">
      <w:pPr>
        <w:spacing w:after="349" w:line="265" w:lineRule="auto"/>
        <w:ind w:left="7"/>
      </w:pPr>
      <w:r>
        <w:rPr>
          <w:u w:val="single" w:color="000000"/>
        </w:rPr>
        <w:t>Nature and function of sentencing skeleton arguments</w:t>
      </w:r>
      <w:r>
        <w:t xml:space="preserve"> </w:t>
      </w:r>
    </w:p>
    <w:p w14:paraId="26FC2880" w14:textId="77777777" w:rsidR="002C26E2" w:rsidRDefault="00812CB4">
      <w:pPr>
        <w:ind w:left="7" w:right="225"/>
      </w:pPr>
      <w:r>
        <w:t>A sentencing skeleton argument is a concise, written document drafted by a barrister (or solicitor advocate) to assist a judge in determining the appropriate sentence for a defendant</w:t>
      </w:r>
      <w:r>
        <w:rPr>
          <w:color w:val="0A0A0A"/>
        </w:rPr>
        <w:t xml:space="preserve">. It provides a "roadmap" of the case, focusing on sentencing guidelines, aggravating and mitigating factors, and relevant case law. </w:t>
      </w:r>
    </w:p>
    <w:p w14:paraId="32AA7717" w14:textId="77777777" w:rsidR="002C26E2" w:rsidRDefault="00812CB4">
      <w:pPr>
        <w:ind w:left="7" w:right="225"/>
      </w:pPr>
      <w:r>
        <w:t xml:space="preserve">In Northern Ireland, sentencing skeleton arguments are governed by </w:t>
      </w:r>
      <w:r>
        <w:rPr>
          <w:b/>
        </w:rPr>
        <w:t>Practice Direction 06/2011</w:t>
      </w:r>
      <w:r>
        <w:t xml:space="preserve">, </w:t>
      </w:r>
      <w:r>
        <w:rPr>
          <w:color w:val="0A0A0A"/>
        </w:rPr>
        <w:t>which mandates specific formatting and content standards for all written submissions to the court</w:t>
      </w:r>
      <w:r>
        <w:t xml:space="preserve">. Skeleton arguments are intended to be </w:t>
      </w:r>
      <w:r>
        <w:rPr>
          <w:b/>
        </w:rPr>
        <w:t>concise, focused documents</w:t>
      </w:r>
      <w:r>
        <w:t xml:space="preserve"> </w:t>
      </w:r>
      <w:r>
        <w:t xml:space="preserve">designed to assist the sentencing judge by identifying relevant guidelines, aggravating and mitigating factors, and pertinent authorities. </w:t>
      </w:r>
    </w:p>
    <w:p w14:paraId="50A776DC" w14:textId="77777777" w:rsidR="002C26E2" w:rsidRDefault="00812CB4">
      <w:pPr>
        <w:spacing w:after="239" w:line="360" w:lineRule="auto"/>
        <w:ind w:left="7" w:right="220"/>
      </w:pPr>
      <w:r>
        <w:rPr>
          <w:color w:val="0A0A0A"/>
        </w:rPr>
        <w:t>While the</w:t>
      </w:r>
      <w:r>
        <w:rPr>
          <w:b/>
          <w:color w:val="0A0A0A"/>
        </w:rPr>
        <w:t xml:space="preserve"> </w:t>
      </w:r>
      <w:r>
        <w:rPr>
          <w:color w:val="0A0A0A"/>
        </w:rPr>
        <w:t>Criminal Bar Association of Northern Ireland provides professional guidance for its members, the legal requirements are set by the Judiciary.</w:t>
      </w:r>
      <w:r>
        <w:t xml:space="preserve"> </w:t>
      </w:r>
    </w:p>
    <w:p w14:paraId="4387B707" w14:textId="77777777" w:rsidR="002C26E2" w:rsidRDefault="00812CB4">
      <w:pPr>
        <w:spacing w:after="119" w:line="360" w:lineRule="auto"/>
        <w:ind w:left="7" w:right="220"/>
      </w:pPr>
      <w:r>
        <w:rPr>
          <w:color w:val="0A0A0A"/>
        </w:rPr>
        <w:t xml:space="preserve">Guidance is provided on sentencing skeleton arguments by the Law Society and the CBA, with best practice guidance stating: </w:t>
      </w:r>
    </w:p>
    <w:p w14:paraId="488570F8" w14:textId="77777777" w:rsidR="002C26E2" w:rsidRDefault="00812CB4">
      <w:pPr>
        <w:numPr>
          <w:ilvl w:val="0"/>
          <w:numId w:val="51"/>
        </w:numPr>
        <w:spacing w:after="119" w:line="360" w:lineRule="auto"/>
        <w:ind w:right="220" w:hanging="355"/>
      </w:pPr>
      <w:r>
        <w:rPr>
          <w:b/>
          <w:color w:val="0A0A0A"/>
        </w:rPr>
        <w:t>Concision:</w:t>
      </w:r>
      <w:r>
        <w:rPr>
          <w:color w:val="0A0A0A"/>
        </w:rPr>
        <w:t xml:space="preserve"> It must be "bare bones"</w:t>
      </w:r>
      <w:r>
        <w:rPr>
          <w:color w:val="0A0A0A"/>
        </w:rPr>
        <w:t>—</w:t>
      </w:r>
      <w:r>
        <w:rPr>
          <w:color w:val="0A0A0A"/>
        </w:rPr>
        <w:t xml:space="preserve">not a verbatim script of the oral argument. </w:t>
      </w:r>
    </w:p>
    <w:p w14:paraId="424BA360" w14:textId="77777777" w:rsidR="002C26E2" w:rsidRDefault="00812CB4">
      <w:pPr>
        <w:numPr>
          <w:ilvl w:val="0"/>
          <w:numId w:val="51"/>
        </w:numPr>
        <w:spacing w:line="259" w:lineRule="auto"/>
        <w:ind w:right="220" w:hanging="355"/>
      </w:pPr>
      <w:r>
        <w:rPr>
          <w:b/>
          <w:color w:val="0A0A0A"/>
        </w:rPr>
        <w:t>Brevity is Key</w:t>
      </w:r>
      <w:r>
        <w:rPr>
          <w:color w:val="0A0A0A"/>
        </w:rPr>
        <w:t xml:space="preserve">: A skeleton should typically be limited to 15 pages of A4  </w:t>
      </w:r>
    </w:p>
    <w:p w14:paraId="6AC76613" w14:textId="77777777" w:rsidR="002C26E2" w:rsidRDefault="00812CB4">
      <w:pPr>
        <w:numPr>
          <w:ilvl w:val="0"/>
          <w:numId w:val="51"/>
        </w:numPr>
        <w:spacing w:after="1" w:line="360" w:lineRule="auto"/>
        <w:ind w:right="220" w:hanging="355"/>
      </w:pPr>
      <w:r>
        <w:rPr>
          <w:b/>
          <w:color w:val="0A0A0A"/>
        </w:rPr>
        <w:t>Technical Detail:</w:t>
      </w:r>
      <w:r>
        <w:rPr>
          <w:color w:val="0A0A0A"/>
        </w:rPr>
        <w:t xml:space="preserve"> Use font size 12 or above, double-spacing, and numbered paragraphs for readability. </w:t>
      </w:r>
    </w:p>
    <w:p w14:paraId="7EA3DCB0" w14:textId="77777777" w:rsidR="002C26E2" w:rsidRDefault="00812CB4">
      <w:pPr>
        <w:spacing w:after="0" w:line="259" w:lineRule="auto"/>
        <w:ind w:left="12" w:firstLine="0"/>
      </w:pPr>
      <w:r>
        <w:t xml:space="preserve"> </w:t>
      </w:r>
    </w:p>
    <w:p w14:paraId="6B0CEF83" w14:textId="77777777" w:rsidR="00444ECE" w:rsidRDefault="00444ECE">
      <w:pPr>
        <w:spacing w:after="349" w:line="265" w:lineRule="auto"/>
        <w:ind w:left="7"/>
        <w:rPr>
          <w:u w:val="single" w:color="000000"/>
        </w:rPr>
      </w:pPr>
    </w:p>
    <w:p w14:paraId="6F563A74" w14:textId="38BDF92C" w:rsidR="002C26E2" w:rsidRDefault="00812CB4">
      <w:pPr>
        <w:spacing w:after="349" w:line="265" w:lineRule="auto"/>
        <w:ind w:left="7"/>
      </w:pPr>
      <w:r>
        <w:rPr>
          <w:u w:val="single" w:color="000000"/>
        </w:rPr>
        <w:t>Existing fees</w:t>
      </w:r>
      <w:r>
        <w:t xml:space="preserve"> </w:t>
      </w:r>
    </w:p>
    <w:p w14:paraId="5A0D7158" w14:textId="77777777" w:rsidR="002C26E2" w:rsidRDefault="00812CB4">
      <w:pPr>
        <w:ind w:left="7" w:right="225"/>
      </w:pPr>
      <w:r>
        <w:t xml:space="preserve">Sentencing skeleton arguments are currently remunerated through </w:t>
      </w:r>
      <w:r>
        <w:rPr>
          <w:b/>
        </w:rPr>
        <w:t>standard fees</w:t>
      </w:r>
      <w:r>
        <w:t xml:space="preserve">, last substantively set in </w:t>
      </w:r>
      <w:r>
        <w:rPr>
          <w:b/>
        </w:rPr>
        <w:t>2015</w:t>
      </w:r>
      <w:r>
        <w:t xml:space="preserve">, and subject to the recent </w:t>
      </w:r>
      <w:r>
        <w:rPr>
          <w:b/>
        </w:rPr>
        <w:t>16% uplift</w:t>
      </w:r>
      <w:r>
        <w:t xml:space="preserve">. As it presently stands, sentencing skeleton arguments fees are as follows: </w:t>
      </w:r>
    </w:p>
    <w:p w14:paraId="50C22AE3" w14:textId="77777777" w:rsidR="002C26E2" w:rsidRDefault="00812CB4">
      <w:pPr>
        <w:spacing w:after="0" w:line="259" w:lineRule="auto"/>
        <w:ind w:left="12" w:firstLine="0"/>
      </w:pPr>
      <w:r>
        <w:t xml:space="preserve"> </w:t>
      </w:r>
    </w:p>
    <w:tbl>
      <w:tblPr>
        <w:tblStyle w:val="TableGrid"/>
        <w:tblW w:w="6761" w:type="dxa"/>
        <w:tblInd w:w="18" w:type="dxa"/>
        <w:tblCellMar>
          <w:top w:w="54" w:type="dxa"/>
          <w:left w:w="107" w:type="dxa"/>
          <w:bottom w:w="0" w:type="dxa"/>
          <w:right w:w="115" w:type="dxa"/>
        </w:tblCellMar>
        <w:tblLook w:val="04A0" w:firstRow="1" w:lastRow="0" w:firstColumn="1" w:lastColumn="0" w:noHBand="0" w:noVBand="1"/>
      </w:tblPr>
      <w:tblGrid>
        <w:gridCol w:w="2253"/>
        <w:gridCol w:w="2254"/>
        <w:gridCol w:w="2254"/>
      </w:tblGrid>
      <w:tr w:rsidR="002C26E2" w14:paraId="048B2193" w14:textId="77777777">
        <w:trPr>
          <w:trHeight w:val="996"/>
        </w:trPr>
        <w:tc>
          <w:tcPr>
            <w:tcW w:w="2253" w:type="dxa"/>
            <w:tcBorders>
              <w:top w:val="single" w:sz="4" w:space="0" w:color="000000"/>
              <w:left w:val="single" w:sz="4" w:space="0" w:color="000000"/>
              <w:bottom w:val="single" w:sz="4" w:space="0" w:color="000000"/>
              <w:right w:val="single" w:sz="4" w:space="0" w:color="000000"/>
            </w:tcBorders>
            <w:shd w:val="clear" w:color="auto" w:fill="424996"/>
          </w:tcPr>
          <w:p w14:paraId="43F43236" w14:textId="77777777" w:rsidR="002C26E2" w:rsidRDefault="00812CB4">
            <w:pPr>
              <w:spacing w:after="0" w:line="259" w:lineRule="auto"/>
              <w:ind w:left="0" w:firstLine="0"/>
            </w:pPr>
            <w:r>
              <w:rPr>
                <w:color w:val="FFFFFF"/>
              </w:rPr>
              <w:t xml:space="preserve"> </w:t>
            </w:r>
          </w:p>
        </w:tc>
        <w:tc>
          <w:tcPr>
            <w:tcW w:w="2254" w:type="dxa"/>
            <w:tcBorders>
              <w:top w:val="single" w:sz="4" w:space="0" w:color="000000"/>
              <w:left w:val="single" w:sz="4" w:space="0" w:color="000000"/>
              <w:bottom w:val="single" w:sz="4" w:space="0" w:color="000000"/>
              <w:right w:val="single" w:sz="4" w:space="0" w:color="000000"/>
            </w:tcBorders>
            <w:shd w:val="clear" w:color="auto" w:fill="424996"/>
          </w:tcPr>
          <w:p w14:paraId="0A37231A" w14:textId="77777777" w:rsidR="002C26E2" w:rsidRDefault="00812CB4">
            <w:pPr>
              <w:spacing w:after="0" w:line="259" w:lineRule="auto"/>
              <w:ind w:left="1" w:firstLine="0"/>
            </w:pPr>
            <w:r>
              <w:rPr>
                <w:color w:val="FFFFFF"/>
              </w:rPr>
              <w:t xml:space="preserve">2015 Rates </w:t>
            </w:r>
          </w:p>
        </w:tc>
        <w:tc>
          <w:tcPr>
            <w:tcW w:w="2254" w:type="dxa"/>
            <w:tcBorders>
              <w:top w:val="single" w:sz="4" w:space="0" w:color="000000"/>
              <w:left w:val="single" w:sz="4" w:space="0" w:color="000000"/>
              <w:bottom w:val="single" w:sz="4" w:space="0" w:color="000000"/>
              <w:right w:val="single" w:sz="4" w:space="0" w:color="000000"/>
            </w:tcBorders>
            <w:shd w:val="clear" w:color="auto" w:fill="424996"/>
          </w:tcPr>
          <w:p w14:paraId="004A5BFD" w14:textId="77777777" w:rsidR="002C26E2" w:rsidRDefault="00812CB4">
            <w:pPr>
              <w:spacing w:after="117" w:line="259" w:lineRule="auto"/>
              <w:ind w:left="1" w:firstLine="0"/>
            </w:pPr>
            <w:r>
              <w:rPr>
                <w:color w:val="FFFFFF"/>
              </w:rPr>
              <w:t xml:space="preserve">2026 Rates with </w:t>
            </w:r>
          </w:p>
          <w:p w14:paraId="3FB7AD96" w14:textId="77777777" w:rsidR="002C26E2" w:rsidRDefault="00812CB4">
            <w:pPr>
              <w:spacing w:after="0" w:line="259" w:lineRule="auto"/>
              <w:ind w:left="1" w:firstLine="0"/>
            </w:pPr>
            <w:r>
              <w:rPr>
                <w:color w:val="FFFFFF"/>
              </w:rPr>
              <w:t xml:space="preserve">16% uplift </w:t>
            </w:r>
          </w:p>
        </w:tc>
      </w:tr>
      <w:tr w:rsidR="002C26E2" w14:paraId="0AE99618" w14:textId="77777777">
        <w:trPr>
          <w:trHeight w:val="585"/>
        </w:trPr>
        <w:tc>
          <w:tcPr>
            <w:tcW w:w="2253" w:type="dxa"/>
            <w:tcBorders>
              <w:top w:val="single" w:sz="4" w:space="0" w:color="000000"/>
              <w:left w:val="single" w:sz="4" w:space="0" w:color="000000"/>
              <w:bottom w:val="single" w:sz="4" w:space="0" w:color="000000"/>
              <w:right w:val="single" w:sz="4" w:space="0" w:color="000000"/>
            </w:tcBorders>
          </w:tcPr>
          <w:p w14:paraId="6893AA3D" w14:textId="77777777" w:rsidR="002C26E2" w:rsidRDefault="00812CB4">
            <w:pPr>
              <w:spacing w:after="0" w:line="259" w:lineRule="auto"/>
              <w:ind w:left="0" w:firstLine="0"/>
            </w:pPr>
            <w:r>
              <w:t xml:space="preserve">Solicitor </w:t>
            </w:r>
          </w:p>
        </w:tc>
        <w:tc>
          <w:tcPr>
            <w:tcW w:w="2254" w:type="dxa"/>
            <w:tcBorders>
              <w:top w:val="single" w:sz="4" w:space="0" w:color="000000"/>
              <w:left w:val="single" w:sz="4" w:space="0" w:color="000000"/>
              <w:bottom w:val="single" w:sz="4" w:space="0" w:color="000000"/>
              <w:right w:val="single" w:sz="4" w:space="0" w:color="000000"/>
            </w:tcBorders>
          </w:tcPr>
          <w:p w14:paraId="03F6DBF4" w14:textId="77777777" w:rsidR="002C26E2" w:rsidRDefault="00812CB4">
            <w:pPr>
              <w:spacing w:after="0" w:line="259" w:lineRule="auto"/>
              <w:ind w:left="1" w:firstLine="0"/>
            </w:pPr>
            <w:r>
              <w:t xml:space="preserve"> </w:t>
            </w:r>
          </w:p>
        </w:tc>
        <w:tc>
          <w:tcPr>
            <w:tcW w:w="2254" w:type="dxa"/>
            <w:tcBorders>
              <w:top w:val="single" w:sz="4" w:space="0" w:color="000000"/>
              <w:left w:val="single" w:sz="4" w:space="0" w:color="000000"/>
              <w:bottom w:val="single" w:sz="4" w:space="0" w:color="000000"/>
              <w:right w:val="single" w:sz="4" w:space="0" w:color="000000"/>
            </w:tcBorders>
          </w:tcPr>
          <w:p w14:paraId="3060C16F" w14:textId="77777777" w:rsidR="002C26E2" w:rsidRDefault="00812CB4">
            <w:pPr>
              <w:spacing w:after="0" w:line="259" w:lineRule="auto"/>
              <w:ind w:left="1" w:firstLine="0"/>
            </w:pPr>
            <w:r>
              <w:t xml:space="preserve"> </w:t>
            </w:r>
          </w:p>
        </w:tc>
      </w:tr>
      <w:tr w:rsidR="002C26E2" w14:paraId="2027C1DC" w14:textId="77777777">
        <w:trPr>
          <w:trHeight w:val="586"/>
        </w:trPr>
        <w:tc>
          <w:tcPr>
            <w:tcW w:w="2253" w:type="dxa"/>
            <w:tcBorders>
              <w:top w:val="single" w:sz="4" w:space="0" w:color="000000"/>
              <w:left w:val="single" w:sz="4" w:space="0" w:color="000000"/>
              <w:bottom w:val="single" w:sz="4" w:space="0" w:color="000000"/>
              <w:right w:val="single" w:sz="4" w:space="0" w:color="000000"/>
            </w:tcBorders>
          </w:tcPr>
          <w:p w14:paraId="3E2FD73C" w14:textId="77777777" w:rsidR="002C26E2" w:rsidRDefault="00812CB4">
            <w:pPr>
              <w:spacing w:after="0" w:line="259" w:lineRule="auto"/>
              <w:ind w:left="0" w:firstLine="0"/>
            </w:pPr>
            <w:r>
              <w:t xml:space="preserve">Senior Counsel </w:t>
            </w:r>
          </w:p>
        </w:tc>
        <w:tc>
          <w:tcPr>
            <w:tcW w:w="2254" w:type="dxa"/>
            <w:tcBorders>
              <w:top w:val="single" w:sz="4" w:space="0" w:color="000000"/>
              <w:left w:val="single" w:sz="4" w:space="0" w:color="000000"/>
              <w:bottom w:val="single" w:sz="4" w:space="0" w:color="000000"/>
              <w:right w:val="single" w:sz="4" w:space="0" w:color="000000"/>
            </w:tcBorders>
          </w:tcPr>
          <w:p w14:paraId="4C60DB55" w14:textId="77777777" w:rsidR="002C26E2" w:rsidRDefault="00812CB4">
            <w:pPr>
              <w:spacing w:after="0" w:line="259" w:lineRule="auto"/>
              <w:ind w:left="1" w:firstLine="0"/>
            </w:pPr>
            <w:r>
              <w:t xml:space="preserve">£250 </w:t>
            </w:r>
          </w:p>
        </w:tc>
        <w:tc>
          <w:tcPr>
            <w:tcW w:w="2254" w:type="dxa"/>
            <w:tcBorders>
              <w:top w:val="single" w:sz="4" w:space="0" w:color="000000"/>
              <w:left w:val="single" w:sz="4" w:space="0" w:color="000000"/>
              <w:bottom w:val="single" w:sz="4" w:space="0" w:color="000000"/>
              <w:right w:val="single" w:sz="4" w:space="0" w:color="000000"/>
            </w:tcBorders>
          </w:tcPr>
          <w:p w14:paraId="3ACB311C" w14:textId="77777777" w:rsidR="002C26E2" w:rsidRDefault="00812CB4">
            <w:pPr>
              <w:spacing w:after="0" w:line="259" w:lineRule="auto"/>
              <w:ind w:left="1" w:firstLine="0"/>
            </w:pPr>
            <w:r>
              <w:t xml:space="preserve">£290 </w:t>
            </w:r>
          </w:p>
        </w:tc>
      </w:tr>
      <w:tr w:rsidR="002C26E2" w14:paraId="52E8BA20" w14:textId="77777777">
        <w:trPr>
          <w:trHeight w:val="583"/>
        </w:trPr>
        <w:tc>
          <w:tcPr>
            <w:tcW w:w="2253" w:type="dxa"/>
            <w:tcBorders>
              <w:top w:val="single" w:sz="4" w:space="0" w:color="000000"/>
              <w:left w:val="single" w:sz="4" w:space="0" w:color="000000"/>
              <w:bottom w:val="single" w:sz="4" w:space="0" w:color="000000"/>
              <w:right w:val="single" w:sz="4" w:space="0" w:color="000000"/>
            </w:tcBorders>
          </w:tcPr>
          <w:p w14:paraId="3044E1BA" w14:textId="77777777" w:rsidR="002C26E2" w:rsidRDefault="00812CB4">
            <w:pPr>
              <w:spacing w:after="0" w:line="259" w:lineRule="auto"/>
              <w:ind w:left="0" w:firstLine="0"/>
            </w:pPr>
            <w:r>
              <w:t xml:space="preserve">Leading counsel </w:t>
            </w:r>
          </w:p>
        </w:tc>
        <w:tc>
          <w:tcPr>
            <w:tcW w:w="2254" w:type="dxa"/>
            <w:tcBorders>
              <w:top w:val="single" w:sz="4" w:space="0" w:color="000000"/>
              <w:left w:val="single" w:sz="4" w:space="0" w:color="000000"/>
              <w:bottom w:val="single" w:sz="4" w:space="0" w:color="000000"/>
              <w:right w:val="single" w:sz="4" w:space="0" w:color="000000"/>
            </w:tcBorders>
          </w:tcPr>
          <w:p w14:paraId="5D945703" w14:textId="77777777" w:rsidR="002C26E2" w:rsidRDefault="00812CB4">
            <w:pPr>
              <w:spacing w:after="0" w:line="259" w:lineRule="auto"/>
              <w:ind w:left="1" w:firstLine="0"/>
            </w:pPr>
            <w:r>
              <w:t xml:space="preserve">£188 </w:t>
            </w:r>
          </w:p>
        </w:tc>
        <w:tc>
          <w:tcPr>
            <w:tcW w:w="2254" w:type="dxa"/>
            <w:tcBorders>
              <w:top w:val="single" w:sz="4" w:space="0" w:color="000000"/>
              <w:left w:val="single" w:sz="4" w:space="0" w:color="000000"/>
              <w:bottom w:val="single" w:sz="4" w:space="0" w:color="000000"/>
              <w:right w:val="single" w:sz="4" w:space="0" w:color="000000"/>
            </w:tcBorders>
          </w:tcPr>
          <w:p w14:paraId="1EDB0202" w14:textId="77777777" w:rsidR="002C26E2" w:rsidRDefault="00812CB4">
            <w:pPr>
              <w:spacing w:after="0" w:line="259" w:lineRule="auto"/>
              <w:ind w:left="1" w:firstLine="0"/>
            </w:pPr>
            <w:r>
              <w:t xml:space="preserve">£218 </w:t>
            </w:r>
          </w:p>
        </w:tc>
      </w:tr>
      <w:tr w:rsidR="002C26E2" w14:paraId="2D1E67C9" w14:textId="77777777">
        <w:trPr>
          <w:trHeight w:val="583"/>
        </w:trPr>
        <w:tc>
          <w:tcPr>
            <w:tcW w:w="2253" w:type="dxa"/>
            <w:tcBorders>
              <w:top w:val="single" w:sz="4" w:space="0" w:color="000000"/>
              <w:left w:val="single" w:sz="4" w:space="0" w:color="000000"/>
              <w:bottom w:val="single" w:sz="4" w:space="0" w:color="000000"/>
              <w:right w:val="single" w:sz="4" w:space="0" w:color="000000"/>
            </w:tcBorders>
          </w:tcPr>
          <w:p w14:paraId="45394EB1" w14:textId="77777777" w:rsidR="002C26E2" w:rsidRDefault="00812CB4">
            <w:pPr>
              <w:spacing w:after="0" w:line="259" w:lineRule="auto"/>
              <w:ind w:left="0" w:firstLine="0"/>
            </w:pPr>
            <w:r>
              <w:t xml:space="preserve">Led counsel </w:t>
            </w:r>
          </w:p>
        </w:tc>
        <w:tc>
          <w:tcPr>
            <w:tcW w:w="2254" w:type="dxa"/>
            <w:tcBorders>
              <w:top w:val="single" w:sz="4" w:space="0" w:color="000000"/>
              <w:left w:val="single" w:sz="4" w:space="0" w:color="000000"/>
              <w:bottom w:val="single" w:sz="4" w:space="0" w:color="000000"/>
              <w:right w:val="single" w:sz="4" w:space="0" w:color="000000"/>
            </w:tcBorders>
          </w:tcPr>
          <w:p w14:paraId="428CB9D0" w14:textId="77777777" w:rsidR="002C26E2" w:rsidRDefault="00812CB4">
            <w:pPr>
              <w:spacing w:after="0" w:line="259" w:lineRule="auto"/>
              <w:ind w:left="1" w:firstLine="0"/>
            </w:pPr>
            <w:r>
              <w:t xml:space="preserve">£125 </w:t>
            </w:r>
          </w:p>
        </w:tc>
        <w:tc>
          <w:tcPr>
            <w:tcW w:w="2254" w:type="dxa"/>
            <w:tcBorders>
              <w:top w:val="single" w:sz="4" w:space="0" w:color="000000"/>
              <w:left w:val="single" w:sz="4" w:space="0" w:color="000000"/>
              <w:bottom w:val="single" w:sz="4" w:space="0" w:color="000000"/>
              <w:right w:val="single" w:sz="4" w:space="0" w:color="000000"/>
            </w:tcBorders>
          </w:tcPr>
          <w:p w14:paraId="2BC12E6A" w14:textId="77777777" w:rsidR="002C26E2" w:rsidRDefault="00812CB4">
            <w:pPr>
              <w:spacing w:after="0" w:line="259" w:lineRule="auto"/>
              <w:ind w:left="1" w:firstLine="0"/>
            </w:pPr>
            <w:r>
              <w:t xml:space="preserve">£145 </w:t>
            </w:r>
          </w:p>
        </w:tc>
      </w:tr>
      <w:tr w:rsidR="002C26E2" w14:paraId="5F3AF055" w14:textId="77777777">
        <w:trPr>
          <w:trHeight w:val="586"/>
        </w:trPr>
        <w:tc>
          <w:tcPr>
            <w:tcW w:w="2253" w:type="dxa"/>
            <w:tcBorders>
              <w:top w:val="single" w:sz="4" w:space="0" w:color="000000"/>
              <w:left w:val="single" w:sz="4" w:space="0" w:color="000000"/>
              <w:bottom w:val="single" w:sz="4" w:space="0" w:color="000000"/>
              <w:right w:val="single" w:sz="4" w:space="0" w:color="000000"/>
            </w:tcBorders>
          </w:tcPr>
          <w:p w14:paraId="0280443E" w14:textId="77777777" w:rsidR="002C26E2" w:rsidRDefault="00812CB4">
            <w:pPr>
              <w:spacing w:after="0" w:line="259" w:lineRule="auto"/>
              <w:ind w:left="0" w:firstLine="0"/>
            </w:pPr>
            <w:r>
              <w:t xml:space="preserve">Sole counsel </w:t>
            </w:r>
          </w:p>
        </w:tc>
        <w:tc>
          <w:tcPr>
            <w:tcW w:w="2254" w:type="dxa"/>
            <w:tcBorders>
              <w:top w:val="single" w:sz="4" w:space="0" w:color="000000"/>
              <w:left w:val="single" w:sz="4" w:space="0" w:color="000000"/>
              <w:bottom w:val="single" w:sz="4" w:space="0" w:color="000000"/>
              <w:right w:val="single" w:sz="4" w:space="0" w:color="000000"/>
            </w:tcBorders>
          </w:tcPr>
          <w:p w14:paraId="0DC6B72C" w14:textId="77777777" w:rsidR="002C26E2" w:rsidRDefault="00812CB4">
            <w:pPr>
              <w:spacing w:after="0" w:line="259" w:lineRule="auto"/>
              <w:ind w:left="1" w:firstLine="0"/>
            </w:pPr>
            <w:r>
              <w:t xml:space="preserve">£163 </w:t>
            </w:r>
          </w:p>
        </w:tc>
        <w:tc>
          <w:tcPr>
            <w:tcW w:w="2254" w:type="dxa"/>
            <w:tcBorders>
              <w:top w:val="single" w:sz="4" w:space="0" w:color="000000"/>
              <w:left w:val="single" w:sz="4" w:space="0" w:color="000000"/>
              <w:bottom w:val="single" w:sz="4" w:space="0" w:color="000000"/>
              <w:right w:val="single" w:sz="4" w:space="0" w:color="000000"/>
            </w:tcBorders>
          </w:tcPr>
          <w:p w14:paraId="1B6DD2C1" w14:textId="77777777" w:rsidR="002C26E2" w:rsidRDefault="00812CB4">
            <w:pPr>
              <w:spacing w:after="0" w:line="259" w:lineRule="auto"/>
              <w:ind w:left="1" w:firstLine="0"/>
            </w:pPr>
            <w:r>
              <w:t xml:space="preserve">£189 </w:t>
            </w:r>
          </w:p>
        </w:tc>
      </w:tr>
    </w:tbl>
    <w:p w14:paraId="7322CBE3" w14:textId="77777777" w:rsidR="002C26E2" w:rsidRDefault="00812CB4" w:rsidP="00444ECE">
      <w:pPr>
        <w:pStyle w:val="Heading2"/>
        <w:spacing w:before="240" w:after="313"/>
        <w:ind w:left="849" w:right="200" w:hanging="852"/>
      </w:pPr>
      <w:bookmarkStart w:id="63" w:name="_Toc107601"/>
      <w:r>
        <w:rPr>
          <w:color w:val="004E9A"/>
          <w:sz w:val="28"/>
        </w:rPr>
        <w:t>R</w:t>
      </w:r>
      <w:r>
        <w:rPr>
          <w:color w:val="004E9A"/>
        </w:rPr>
        <w:t xml:space="preserve">EQUESTS MADE IN THE </w:t>
      </w:r>
      <w:r>
        <w:rPr>
          <w:color w:val="004E9A"/>
          <w:sz w:val="28"/>
        </w:rPr>
        <w:t>S</w:t>
      </w:r>
      <w:r>
        <w:rPr>
          <w:color w:val="004E9A"/>
        </w:rPr>
        <w:t>UBMISSIONS</w:t>
      </w:r>
      <w:r>
        <w:rPr>
          <w:color w:val="004E9A"/>
          <w:sz w:val="28"/>
        </w:rPr>
        <w:t xml:space="preserve"> </w:t>
      </w:r>
      <w:bookmarkEnd w:id="63"/>
    </w:p>
    <w:p w14:paraId="18F4A998" w14:textId="77777777" w:rsidR="002C26E2" w:rsidRDefault="00812CB4">
      <w:pPr>
        <w:spacing w:after="109" w:line="265" w:lineRule="auto"/>
        <w:ind w:left="7"/>
      </w:pPr>
      <w:r>
        <w:rPr>
          <w:u w:val="single" w:color="000000"/>
        </w:rPr>
        <w:t>CBA proposal</w:t>
      </w:r>
      <w:r>
        <w:t xml:space="preserve"> </w:t>
      </w:r>
    </w:p>
    <w:p w14:paraId="7D1AF5DF" w14:textId="77777777" w:rsidR="002C26E2" w:rsidRDefault="00812CB4">
      <w:pPr>
        <w:spacing w:after="154"/>
        <w:ind w:left="7" w:right="225"/>
      </w:pPr>
      <w:r>
        <w:t xml:space="preserve">The CBA Submission requests that </w:t>
      </w:r>
      <w:proofErr w:type="gramStart"/>
      <w:r>
        <w:t>fees</w:t>
      </w:r>
      <w:proofErr w:type="gramEnd"/>
      <w:r>
        <w:t xml:space="preserve"> for sentencing skeleton arguments be increased substantially, on the basis that such work represents approximately </w:t>
      </w:r>
      <w:r>
        <w:rPr>
          <w:b/>
        </w:rPr>
        <w:t>four hours of preparation time</w:t>
      </w:r>
      <w:r>
        <w:t xml:space="preserve">. Using the hourly rates sought elsewhere in the Submission, the CBA proposes the following fees: </w:t>
      </w:r>
    </w:p>
    <w:p w14:paraId="0E575B0F" w14:textId="77777777" w:rsidR="002C26E2" w:rsidRDefault="00812CB4">
      <w:pPr>
        <w:numPr>
          <w:ilvl w:val="0"/>
          <w:numId w:val="52"/>
        </w:numPr>
        <w:spacing w:after="119" w:line="259" w:lineRule="auto"/>
        <w:ind w:right="225" w:hanging="360"/>
      </w:pPr>
      <w:r>
        <w:rPr>
          <w:b/>
        </w:rPr>
        <w:t>£900</w:t>
      </w:r>
      <w:r>
        <w:t xml:space="preserve"> for Senior Counsel; </w:t>
      </w:r>
    </w:p>
    <w:p w14:paraId="484D096B" w14:textId="77777777" w:rsidR="002C26E2" w:rsidRDefault="00812CB4">
      <w:pPr>
        <w:numPr>
          <w:ilvl w:val="0"/>
          <w:numId w:val="52"/>
        </w:numPr>
        <w:spacing w:after="117" w:line="259" w:lineRule="auto"/>
        <w:ind w:right="225" w:hanging="360"/>
      </w:pPr>
      <w:r>
        <w:rPr>
          <w:b/>
        </w:rPr>
        <w:t>£550</w:t>
      </w:r>
      <w:r>
        <w:t xml:space="preserve"> for Junior Counsel (sole); and </w:t>
      </w:r>
    </w:p>
    <w:p w14:paraId="4E6F25D6" w14:textId="77777777" w:rsidR="002C26E2" w:rsidRDefault="00812CB4">
      <w:pPr>
        <w:numPr>
          <w:ilvl w:val="0"/>
          <w:numId w:val="52"/>
        </w:numPr>
        <w:spacing w:after="319" w:line="259" w:lineRule="auto"/>
        <w:ind w:right="225" w:hanging="360"/>
      </w:pPr>
      <w:r>
        <w:rPr>
          <w:b/>
        </w:rPr>
        <w:t>£450</w:t>
      </w:r>
      <w:r>
        <w:t xml:space="preserve"> for Led Junior Counsel. </w:t>
      </w:r>
    </w:p>
    <w:p w14:paraId="190B6606" w14:textId="77777777" w:rsidR="002C26E2" w:rsidRDefault="00812CB4">
      <w:pPr>
        <w:spacing w:after="109" w:line="265" w:lineRule="auto"/>
        <w:ind w:left="7"/>
      </w:pPr>
      <w:r>
        <w:rPr>
          <w:u w:val="single" w:color="000000"/>
        </w:rPr>
        <w:t>Evidential basis advanced</w:t>
      </w:r>
      <w:r>
        <w:t xml:space="preserve"> </w:t>
      </w:r>
    </w:p>
    <w:p w14:paraId="6555C181" w14:textId="77777777" w:rsidR="002C26E2" w:rsidRDefault="00812CB4">
      <w:pPr>
        <w:ind w:left="7" w:right="225"/>
      </w:pPr>
      <w:r>
        <w:t xml:space="preserve">The CBA relies on an assumed preparation time of four hours, which is understood to be based on a </w:t>
      </w:r>
      <w:r>
        <w:rPr>
          <w:b/>
        </w:rPr>
        <w:t>SurveyMonkey exercise</w:t>
      </w:r>
      <w:r>
        <w:t xml:space="preserve"> conducted amongst members of the Bar. We understand that this was based on returns made by individual members of the Bar. </w:t>
      </w:r>
    </w:p>
    <w:p w14:paraId="25ED5D16" w14:textId="77777777" w:rsidR="002C26E2" w:rsidRDefault="00812CB4">
      <w:pPr>
        <w:spacing w:line="259" w:lineRule="auto"/>
        <w:ind w:left="7" w:right="225"/>
      </w:pPr>
      <w:r>
        <w:t xml:space="preserve">No independently validated data has been provided demonstrating: </w:t>
      </w:r>
    </w:p>
    <w:p w14:paraId="1E18EC10" w14:textId="77777777" w:rsidR="002C26E2" w:rsidRDefault="00812CB4">
      <w:pPr>
        <w:numPr>
          <w:ilvl w:val="0"/>
          <w:numId w:val="52"/>
        </w:numPr>
        <w:spacing w:after="116" w:line="259" w:lineRule="auto"/>
        <w:ind w:right="225" w:hanging="360"/>
      </w:pPr>
      <w:r>
        <w:t xml:space="preserve">how the survey was constructed, </w:t>
      </w:r>
    </w:p>
    <w:p w14:paraId="3D24D7D6" w14:textId="77777777" w:rsidR="002C26E2" w:rsidRDefault="00812CB4">
      <w:pPr>
        <w:numPr>
          <w:ilvl w:val="0"/>
          <w:numId w:val="52"/>
        </w:numPr>
        <w:spacing w:after="118" w:line="259" w:lineRule="auto"/>
        <w:ind w:right="225" w:hanging="360"/>
      </w:pPr>
      <w:r>
        <w:t xml:space="preserve">the sample size or representativeness of responses, </w:t>
      </w:r>
    </w:p>
    <w:p w14:paraId="49790528" w14:textId="77777777" w:rsidR="002C26E2" w:rsidRDefault="00812CB4" w:rsidP="00444ECE">
      <w:pPr>
        <w:numPr>
          <w:ilvl w:val="0"/>
          <w:numId w:val="52"/>
        </w:numPr>
        <w:spacing w:after="240"/>
        <w:ind w:right="225" w:hanging="360"/>
      </w:pPr>
      <w:r>
        <w:t xml:space="preserve">or how the four-hour figure was derived or tested. </w:t>
      </w:r>
    </w:p>
    <w:p w14:paraId="42C7B642" w14:textId="77777777" w:rsidR="002C26E2" w:rsidRDefault="00812CB4">
      <w:pPr>
        <w:pStyle w:val="Heading2"/>
        <w:ind w:left="849" w:right="200" w:hanging="852"/>
      </w:pPr>
      <w:bookmarkStart w:id="64" w:name="_Toc107602"/>
      <w:r>
        <w:rPr>
          <w:color w:val="004E9A"/>
          <w:sz w:val="28"/>
        </w:rPr>
        <w:t>A</w:t>
      </w:r>
      <w:r>
        <w:rPr>
          <w:color w:val="004E9A"/>
        </w:rPr>
        <w:t>SSESSMENT OF THE EVIDENCE</w:t>
      </w:r>
      <w:r>
        <w:rPr>
          <w:color w:val="004E9A"/>
          <w:sz w:val="28"/>
        </w:rPr>
        <w:t xml:space="preserve"> </w:t>
      </w:r>
      <w:bookmarkEnd w:id="64"/>
    </w:p>
    <w:p w14:paraId="02A7DCF2" w14:textId="77777777" w:rsidR="002C26E2" w:rsidRDefault="00812CB4">
      <w:pPr>
        <w:spacing w:after="349" w:line="265" w:lineRule="auto"/>
        <w:ind w:left="7"/>
      </w:pPr>
      <w:r>
        <w:rPr>
          <w:u w:val="single" w:color="000000"/>
        </w:rPr>
        <w:t>Lack of validated time evidence</w:t>
      </w:r>
      <w:r>
        <w:t xml:space="preserve"> </w:t>
      </w:r>
    </w:p>
    <w:p w14:paraId="7CD3D0A8" w14:textId="77777777" w:rsidR="002C26E2" w:rsidRDefault="00812CB4">
      <w:pPr>
        <w:spacing w:after="0"/>
        <w:ind w:left="7" w:right="225"/>
      </w:pPr>
      <w:r>
        <w:t xml:space="preserve">The Terms of Reference require that recommendations be supported by evidence that is </w:t>
      </w:r>
      <w:r>
        <w:rPr>
          <w:b/>
        </w:rPr>
        <w:t>statistically valid and sufficiently objective and robust</w:t>
      </w:r>
      <w:r>
        <w:t xml:space="preserve">. The Review Team concludes that the evidential material relied upon by the CBA does not meet this threshold in relation to sentencing skeleton arguments. In particular: </w:t>
      </w:r>
    </w:p>
    <w:p w14:paraId="64F8A555" w14:textId="77777777" w:rsidR="002C26E2" w:rsidRDefault="00812CB4">
      <w:pPr>
        <w:numPr>
          <w:ilvl w:val="0"/>
          <w:numId w:val="53"/>
        </w:numPr>
        <w:spacing w:after="0"/>
        <w:ind w:right="225" w:hanging="360"/>
      </w:pPr>
      <w:r>
        <w:t xml:space="preserve">the four-hour assumption has not been substantiated by contemporaneous time recording data; and </w:t>
      </w:r>
    </w:p>
    <w:p w14:paraId="31EB98CE" w14:textId="77777777" w:rsidR="002C26E2" w:rsidRDefault="00812CB4" w:rsidP="00444ECE">
      <w:pPr>
        <w:numPr>
          <w:ilvl w:val="0"/>
          <w:numId w:val="53"/>
        </w:numPr>
        <w:spacing w:after="240"/>
        <w:ind w:right="225" w:hanging="360"/>
      </w:pPr>
      <w:r>
        <w:t xml:space="preserve">there is no evidence demonstrating that four hours represents a typical or reasonable preparation time across cases. </w:t>
      </w:r>
    </w:p>
    <w:p w14:paraId="3651D208" w14:textId="77777777" w:rsidR="002C26E2" w:rsidRDefault="00812CB4">
      <w:pPr>
        <w:pStyle w:val="Heading2"/>
        <w:ind w:left="849" w:right="200" w:hanging="852"/>
      </w:pPr>
      <w:bookmarkStart w:id="65" w:name="_Toc107603"/>
      <w:r>
        <w:rPr>
          <w:color w:val="004E9A"/>
          <w:sz w:val="28"/>
        </w:rPr>
        <w:t>C</w:t>
      </w:r>
      <w:r>
        <w:rPr>
          <w:color w:val="004E9A"/>
        </w:rPr>
        <w:t>ONCLUSIONS</w:t>
      </w:r>
      <w:r>
        <w:rPr>
          <w:color w:val="000000"/>
        </w:rPr>
        <w:t xml:space="preserve"> </w:t>
      </w:r>
      <w:r>
        <w:rPr>
          <w:color w:val="004E9A"/>
        </w:rPr>
        <w:t>ON SENTENCING SKELETON ARGUMENTS</w:t>
      </w:r>
      <w:r>
        <w:rPr>
          <w:color w:val="000000"/>
          <w:sz w:val="28"/>
        </w:rPr>
        <w:t xml:space="preserve"> </w:t>
      </w:r>
      <w:bookmarkEnd w:id="65"/>
    </w:p>
    <w:p w14:paraId="7BF34369" w14:textId="77777777" w:rsidR="002C26E2" w:rsidRDefault="00812CB4">
      <w:pPr>
        <w:spacing w:line="259" w:lineRule="auto"/>
        <w:ind w:left="7" w:right="225"/>
      </w:pPr>
      <w:proofErr w:type="gramStart"/>
      <w:r>
        <w:t>On the basis of</w:t>
      </w:r>
      <w:proofErr w:type="gramEnd"/>
      <w:r>
        <w:t xml:space="preserve"> the evidence assessed, the Review Team concludes that: </w:t>
      </w:r>
    </w:p>
    <w:p w14:paraId="3E6E106D" w14:textId="77777777" w:rsidR="002C26E2" w:rsidRDefault="00812CB4">
      <w:pPr>
        <w:numPr>
          <w:ilvl w:val="0"/>
          <w:numId w:val="54"/>
        </w:numPr>
        <w:spacing w:after="112"/>
        <w:ind w:right="225" w:hanging="355"/>
      </w:pPr>
      <w:r>
        <w:t xml:space="preserve">there is </w:t>
      </w:r>
      <w:r>
        <w:rPr>
          <w:b/>
        </w:rPr>
        <w:t>no robust evidential basis</w:t>
      </w:r>
      <w:r>
        <w:t xml:space="preserve"> on which to adopt a time-and-rate model </w:t>
      </w:r>
      <w:r>
        <w:rPr>
          <w:color w:val="0A0A0A"/>
        </w:rPr>
        <w:t xml:space="preserve">to justify a </w:t>
      </w:r>
      <w:proofErr w:type="gramStart"/>
      <w:r>
        <w:rPr>
          <w:color w:val="0A0A0A"/>
        </w:rPr>
        <w:t>4 hour</w:t>
      </w:r>
      <w:proofErr w:type="gramEnd"/>
      <w:r>
        <w:rPr>
          <w:color w:val="0A0A0A"/>
        </w:rPr>
        <w:t xml:space="preserve"> time estimate, along with the GLSNI hourly rate. As such, a tim</w:t>
      </w:r>
      <w:r>
        <w:t xml:space="preserve">e-and-rate model would not </w:t>
      </w:r>
      <w:r>
        <w:rPr>
          <w:color w:val="0A0A0A"/>
        </w:rPr>
        <w:t>be appropriate</w:t>
      </w:r>
      <w:r>
        <w:t xml:space="preserve"> for sentencing skeleton arguments at this stage; </w:t>
      </w:r>
    </w:p>
    <w:p w14:paraId="1F78F40D" w14:textId="77777777" w:rsidR="002C26E2" w:rsidRDefault="00812CB4">
      <w:pPr>
        <w:numPr>
          <w:ilvl w:val="0"/>
          <w:numId w:val="54"/>
        </w:numPr>
        <w:spacing w:after="112"/>
        <w:ind w:right="225" w:hanging="355"/>
      </w:pPr>
      <w:r>
        <w:t xml:space="preserve">the </w:t>
      </w:r>
      <w:r>
        <w:rPr>
          <w:b/>
        </w:rPr>
        <w:t>existing</w:t>
      </w:r>
      <w:r>
        <w:t xml:space="preserve"> </w:t>
      </w:r>
      <w:r>
        <w:t xml:space="preserve">approach of remunerating such work through standard fees remains appropriate within the scope of this Accelerated Review; and </w:t>
      </w:r>
    </w:p>
    <w:p w14:paraId="7E375103" w14:textId="77777777" w:rsidR="002C26E2" w:rsidRDefault="00812CB4" w:rsidP="00444ECE">
      <w:pPr>
        <w:numPr>
          <w:ilvl w:val="0"/>
          <w:numId w:val="54"/>
        </w:numPr>
        <w:spacing w:after="240"/>
        <w:ind w:right="225" w:hanging="355"/>
      </w:pPr>
      <w:r>
        <w:t xml:space="preserve">any </w:t>
      </w:r>
      <w:r>
        <w:rPr>
          <w:b/>
        </w:rPr>
        <w:t>increase</w:t>
      </w:r>
      <w:r>
        <w:t xml:space="preserve"> to those fees should therefore follow the same principled approach adopted elsewhere for standard fees. </w:t>
      </w:r>
    </w:p>
    <w:p w14:paraId="2B2BEC6F" w14:textId="77777777" w:rsidR="002C26E2" w:rsidRDefault="00812CB4">
      <w:pPr>
        <w:spacing w:after="349" w:line="265" w:lineRule="auto"/>
        <w:ind w:left="7"/>
      </w:pPr>
      <w:r>
        <w:rPr>
          <w:u w:val="single" w:color="000000"/>
        </w:rPr>
        <w:t>Recommended approach</w:t>
      </w:r>
      <w:r>
        <w:t xml:space="preserve"> </w:t>
      </w:r>
    </w:p>
    <w:p w14:paraId="4F1A1A0B" w14:textId="77777777" w:rsidR="002C26E2" w:rsidRDefault="00812CB4">
      <w:pPr>
        <w:spacing w:after="112"/>
        <w:ind w:left="7" w:right="225"/>
      </w:pPr>
      <w:r>
        <w:t xml:space="preserve">Consistent with the methodology applied to standard fees generally, the Review Team recommends that: </w:t>
      </w:r>
    </w:p>
    <w:p w14:paraId="3765E8EB" w14:textId="77777777" w:rsidR="002C26E2" w:rsidRDefault="00812CB4">
      <w:pPr>
        <w:numPr>
          <w:ilvl w:val="0"/>
          <w:numId w:val="54"/>
        </w:numPr>
        <w:ind w:right="225" w:hanging="355"/>
      </w:pPr>
      <w:r>
        <w:t xml:space="preserve">sentencing skeleton argument fees be increased by </w:t>
      </w:r>
      <w:r>
        <w:rPr>
          <w:b/>
        </w:rPr>
        <w:t>26.05%</w:t>
      </w:r>
      <w:r>
        <w:t>, reflecting the comparator-</w:t>
      </w:r>
      <w:r>
        <w:t xml:space="preserve">based uplift identified in this report; and </w:t>
      </w:r>
    </w:p>
    <w:p w14:paraId="5BA55FCD" w14:textId="77777777" w:rsidR="002C26E2" w:rsidRDefault="00812CB4">
      <w:pPr>
        <w:numPr>
          <w:ilvl w:val="0"/>
          <w:numId w:val="54"/>
        </w:numPr>
        <w:spacing w:after="355" w:line="259" w:lineRule="auto"/>
        <w:ind w:right="225" w:hanging="355"/>
      </w:pPr>
      <w:r>
        <w:t xml:space="preserve">no additional uplift based on unvalidated time assumptions be applied. </w:t>
      </w:r>
    </w:p>
    <w:p w14:paraId="725932E8" w14:textId="77777777" w:rsidR="002C26E2" w:rsidRDefault="00812CB4">
      <w:pPr>
        <w:spacing w:after="1" w:line="360" w:lineRule="auto"/>
        <w:ind w:left="7" w:right="220"/>
      </w:pPr>
      <w:r>
        <w:t>The</w:t>
      </w:r>
      <w:r>
        <w:rPr>
          <w:color w:val="0A0A0A"/>
        </w:rPr>
        <w:t xml:space="preserve"> </w:t>
      </w:r>
      <w:r>
        <w:t>impact</w:t>
      </w:r>
      <w:r>
        <w:rPr>
          <w:color w:val="0A0A0A"/>
        </w:rPr>
        <w:t xml:space="preserve"> of this increase on sentencing skeleton arguments standard fees is shown below. </w:t>
      </w:r>
    </w:p>
    <w:p w14:paraId="6302DCA6" w14:textId="77777777" w:rsidR="002C26E2" w:rsidRDefault="00812CB4">
      <w:pPr>
        <w:spacing w:after="5" w:line="259" w:lineRule="auto"/>
        <w:ind w:left="732" w:firstLine="0"/>
      </w:pPr>
      <w:r>
        <w:rPr>
          <w:color w:val="0A0A0A"/>
        </w:rPr>
        <w:t xml:space="preserve"> </w:t>
      </w:r>
    </w:p>
    <w:tbl>
      <w:tblPr>
        <w:tblStyle w:val="TableGrid"/>
        <w:tblW w:w="8075" w:type="dxa"/>
        <w:tblInd w:w="18" w:type="dxa"/>
        <w:tblCellMar>
          <w:top w:w="54" w:type="dxa"/>
          <w:left w:w="107" w:type="dxa"/>
          <w:bottom w:w="0" w:type="dxa"/>
          <w:right w:w="51" w:type="dxa"/>
        </w:tblCellMar>
        <w:tblLook w:val="04A0" w:firstRow="1" w:lastRow="0" w:firstColumn="1" w:lastColumn="0" w:noHBand="0" w:noVBand="1"/>
      </w:tblPr>
      <w:tblGrid>
        <w:gridCol w:w="2253"/>
        <w:gridCol w:w="1853"/>
        <w:gridCol w:w="1985"/>
        <w:gridCol w:w="1984"/>
      </w:tblGrid>
      <w:tr w:rsidR="002C26E2" w14:paraId="2D47FE09" w14:textId="77777777">
        <w:trPr>
          <w:trHeight w:val="996"/>
        </w:trPr>
        <w:tc>
          <w:tcPr>
            <w:tcW w:w="2253" w:type="dxa"/>
            <w:tcBorders>
              <w:top w:val="single" w:sz="4" w:space="0" w:color="000000"/>
              <w:left w:val="single" w:sz="4" w:space="0" w:color="000000"/>
              <w:bottom w:val="single" w:sz="4" w:space="0" w:color="000000"/>
              <w:right w:val="single" w:sz="4" w:space="0" w:color="000000"/>
            </w:tcBorders>
            <w:shd w:val="clear" w:color="auto" w:fill="424996"/>
          </w:tcPr>
          <w:p w14:paraId="7FD7BB92" w14:textId="77777777" w:rsidR="002C26E2" w:rsidRDefault="00812CB4">
            <w:pPr>
              <w:spacing w:after="0" w:line="259" w:lineRule="auto"/>
              <w:ind w:left="0" w:firstLine="0"/>
            </w:pPr>
            <w:r>
              <w:rPr>
                <w:color w:val="FFFFFF"/>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424996"/>
          </w:tcPr>
          <w:p w14:paraId="1243C621" w14:textId="77777777" w:rsidR="002C26E2" w:rsidRDefault="00812CB4">
            <w:pPr>
              <w:spacing w:after="0" w:line="259" w:lineRule="auto"/>
              <w:ind w:left="1" w:firstLine="0"/>
            </w:pPr>
            <w:r>
              <w:rPr>
                <w:color w:val="FFFFFF"/>
              </w:rPr>
              <w:t xml:space="preserve">2015 Rates </w:t>
            </w:r>
          </w:p>
        </w:tc>
        <w:tc>
          <w:tcPr>
            <w:tcW w:w="1985" w:type="dxa"/>
            <w:tcBorders>
              <w:top w:val="single" w:sz="4" w:space="0" w:color="000000"/>
              <w:left w:val="single" w:sz="4" w:space="0" w:color="000000"/>
              <w:bottom w:val="single" w:sz="4" w:space="0" w:color="000000"/>
              <w:right w:val="single" w:sz="4" w:space="0" w:color="000000"/>
            </w:tcBorders>
            <w:shd w:val="clear" w:color="auto" w:fill="424996"/>
          </w:tcPr>
          <w:p w14:paraId="4D149DA7" w14:textId="77777777" w:rsidR="002C26E2" w:rsidRDefault="00812CB4">
            <w:pPr>
              <w:spacing w:after="117" w:line="259" w:lineRule="auto"/>
              <w:ind w:left="1" w:firstLine="0"/>
              <w:jc w:val="both"/>
            </w:pPr>
            <w:r>
              <w:rPr>
                <w:color w:val="FFFFFF"/>
              </w:rPr>
              <w:t xml:space="preserve">2026 Rates with </w:t>
            </w:r>
          </w:p>
          <w:p w14:paraId="2AF0FC51" w14:textId="77777777" w:rsidR="002C26E2" w:rsidRDefault="00812CB4">
            <w:pPr>
              <w:spacing w:after="0" w:line="259" w:lineRule="auto"/>
              <w:ind w:left="1" w:firstLine="0"/>
            </w:pPr>
            <w:r>
              <w:rPr>
                <w:color w:val="FFFFFF"/>
              </w:rPr>
              <w:t xml:space="preserve">16% uplift </w:t>
            </w:r>
          </w:p>
        </w:tc>
        <w:tc>
          <w:tcPr>
            <w:tcW w:w="1984" w:type="dxa"/>
            <w:tcBorders>
              <w:top w:val="single" w:sz="4" w:space="0" w:color="000000"/>
              <w:left w:val="single" w:sz="4" w:space="0" w:color="000000"/>
              <w:bottom w:val="single" w:sz="4" w:space="0" w:color="000000"/>
              <w:right w:val="single" w:sz="4" w:space="0" w:color="000000"/>
            </w:tcBorders>
            <w:shd w:val="clear" w:color="auto" w:fill="424996"/>
          </w:tcPr>
          <w:p w14:paraId="7A0C716F" w14:textId="77777777" w:rsidR="002C26E2" w:rsidRDefault="00812CB4">
            <w:pPr>
              <w:spacing w:after="117" w:line="259" w:lineRule="auto"/>
              <w:ind w:left="2" w:firstLine="0"/>
              <w:jc w:val="both"/>
            </w:pPr>
            <w:r>
              <w:rPr>
                <w:color w:val="FFFFFF"/>
              </w:rPr>
              <w:t xml:space="preserve">2026 Rates with </w:t>
            </w:r>
          </w:p>
          <w:p w14:paraId="4A68B080" w14:textId="77777777" w:rsidR="002C26E2" w:rsidRDefault="00812CB4">
            <w:pPr>
              <w:spacing w:after="0" w:line="259" w:lineRule="auto"/>
              <w:ind w:left="2" w:firstLine="0"/>
            </w:pPr>
            <w:r>
              <w:rPr>
                <w:color w:val="FFFFFF"/>
              </w:rPr>
              <w:t xml:space="preserve">26.05% uplift </w:t>
            </w:r>
          </w:p>
        </w:tc>
      </w:tr>
      <w:tr w:rsidR="002C26E2" w14:paraId="03DA9E71" w14:textId="77777777">
        <w:trPr>
          <w:trHeight w:val="585"/>
        </w:trPr>
        <w:tc>
          <w:tcPr>
            <w:tcW w:w="2253" w:type="dxa"/>
            <w:tcBorders>
              <w:top w:val="single" w:sz="4" w:space="0" w:color="000000"/>
              <w:left w:val="single" w:sz="4" w:space="0" w:color="000000"/>
              <w:bottom w:val="single" w:sz="4" w:space="0" w:color="000000"/>
              <w:right w:val="single" w:sz="4" w:space="0" w:color="000000"/>
            </w:tcBorders>
          </w:tcPr>
          <w:p w14:paraId="3DE96973" w14:textId="77777777" w:rsidR="002C26E2" w:rsidRDefault="00812CB4">
            <w:pPr>
              <w:spacing w:after="0" w:line="259" w:lineRule="auto"/>
              <w:ind w:left="0" w:firstLine="0"/>
            </w:pPr>
            <w:r>
              <w:t xml:space="preserve">Senior counsel </w:t>
            </w:r>
          </w:p>
        </w:tc>
        <w:tc>
          <w:tcPr>
            <w:tcW w:w="1853" w:type="dxa"/>
            <w:tcBorders>
              <w:top w:val="single" w:sz="4" w:space="0" w:color="000000"/>
              <w:left w:val="single" w:sz="4" w:space="0" w:color="000000"/>
              <w:bottom w:val="single" w:sz="4" w:space="0" w:color="000000"/>
              <w:right w:val="single" w:sz="4" w:space="0" w:color="000000"/>
            </w:tcBorders>
          </w:tcPr>
          <w:p w14:paraId="3E7F33E0" w14:textId="77777777" w:rsidR="002C26E2" w:rsidRDefault="00812CB4">
            <w:pPr>
              <w:spacing w:after="0" w:line="259" w:lineRule="auto"/>
              <w:ind w:left="1" w:firstLine="0"/>
            </w:pPr>
            <w:r>
              <w:t xml:space="preserve">£250 </w:t>
            </w:r>
          </w:p>
        </w:tc>
        <w:tc>
          <w:tcPr>
            <w:tcW w:w="1985" w:type="dxa"/>
            <w:tcBorders>
              <w:top w:val="single" w:sz="4" w:space="0" w:color="000000"/>
              <w:left w:val="single" w:sz="4" w:space="0" w:color="000000"/>
              <w:bottom w:val="single" w:sz="4" w:space="0" w:color="000000"/>
              <w:right w:val="single" w:sz="4" w:space="0" w:color="000000"/>
            </w:tcBorders>
          </w:tcPr>
          <w:p w14:paraId="30F5DCB6" w14:textId="77777777" w:rsidR="002C26E2" w:rsidRDefault="00812CB4">
            <w:pPr>
              <w:spacing w:after="0" w:line="259" w:lineRule="auto"/>
              <w:ind w:left="1" w:firstLine="0"/>
            </w:pPr>
            <w:r>
              <w:t xml:space="preserve">£290 </w:t>
            </w:r>
          </w:p>
        </w:tc>
        <w:tc>
          <w:tcPr>
            <w:tcW w:w="1984" w:type="dxa"/>
            <w:tcBorders>
              <w:top w:val="single" w:sz="4" w:space="0" w:color="000000"/>
              <w:left w:val="single" w:sz="4" w:space="0" w:color="000000"/>
              <w:bottom w:val="single" w:sz="4" w:space="0" w:color="000000"/>
              <w:right w:val="single" w:sz="4" w:space="0" w:color="000000"/>
            </w:tcBorders>
          </w:tcPr>
          <w:p w14:paraId="6320FEC4" w14:textId="77777777" w:rsidR="002C26E2" w:rsidRDefault="00812CB4">
            <w:pPr>
              <w:spacing w:after="0" w:line="259" w:lineRule="auto"/>
              <w:ind w:left="2" w:firstLine="0"/>
            </w:pPr>
            <w:r>
              <w:t xml:space="preserve">£315 </w:t>
            </w:r>
          </w:p>
        </w:tc>
      </w:tr>
      <w:tr w:rsidR="002C26E2" w14:paraId="07C927FE" w14:textId="77777777">
        <w:trPr>
          <w:trHeight w:val="998"/>
        </w:trPr>
        <w:tc>
          <w:tcPr>
            <w:tcW w:w="2253" w:type="dxa"/>
            <w:tcBorders>
              <w:top w:val="single" w:sz="4" w:space="0" w:color="000000"/>
              <w:left w:val="single" w:sz="4" w:space="0" w:color="000000"/>
              <w:bottom w:val="single" w:sz="4" w:space="0" w:color="000000"/>
              <w:right w:val="single" w:sz="4" w:space="0" w:color="000000"/>
            </w:tcBorders>
          </w:tcPr>
          <w:p w14:paraId="74FD047A" w14:textId="77777777" w:rsidR="002C26E2" w:rsidRDefault="00812CB4">
            <w:pPr>
              <w:spacing w:after="0" w:line="259" w:lineRule="auto"/>
              <w:ind w:left="0" w:firstLine="0"/>
            </w:pPr>
            <w:r>
              <w:t xml:space="preserve">Leading Junior counsel </w:t>
            </w:r>
          </w:p>
        </w:tc>
        <w:tc>
          <w:tcPr>
            <w:tcW w:w="1853" w:type="dxa"/>
            <w:tcBorders>
              <w:top w:val="single" w:sz="4" w:space="0" w:color="000000"/>
              <w:left w:val="single" w:sz="4" w:space="0" w:color="000000"/>
              <w:bottom w:val="single" w:sz="4" w:space="0" w:color="000000"/>
              <w:right w:val="single" w:sz="4" w:space="0" w:color="000000"/>
            </w:tcBorders>
          </w:tcPr>
          <w:p w14:paraId="29A1BBB3" w14:textId="77777777" w:rsidR="002C26E2" w:rsidRDefault="00812CB4">
            <w:pPr>
              <w:spacing w:after="0" w:line="259" w:lineRule="auto"/>
              <w:ind w:left="1" w:firstLine="0"/>
            </w:pPr>
            <w:r>
              <w:t xml:space="preserve">£188 </w:t>
            </w:r>
          </w:p>
        </w:tc>
        <w:tc>
          <w:tcPr>
            <w:tcW w:w="1985" w:type="dxa"/>
            <w:tcBorders>
              <w:top w:val="single" w:sz="4" w:space="0" w:color="000000"/>
              <w:left w:val="single" w:sz="4" w:space="0" w:color="000000"/>
              <w:bottom w:val="single" w:sz="4" w:space="0" w:color="000000"/>
              <w:right w:val="single" w:sz="4" w:space="0" w:color="000000"/>
            </w:tcBorders>
          </w:tcPr>
          <w:p w14:paraId="3CAA93C6" w14:textId="77777777" w:rsidR="002C26E2" w:rsidRDefault="00812CB4">
            <w:pPr>
              <w:spacing w:after="0" w:line="259" w:lineRule="auto"/>
              <w:ind w:left="1" w:firstLine="0"/>
            </w:pPr>
            <w:r>
              <w:t xml:space="preserve">£218 </w:t>
            </w:r>
          </w:p>
        </w:tc>
        <w:tc>
          <w:tcPr>
            <w:tcW w:w="1984" w:type="dxa"/>
            <w:tcBorders>
              <w:top w:val="single" w:sz="4" w:space="0" w:color="000000"/>
              <w:left w:val="single" w:sz="4" w:space="0" w:color="000000"/>
              <w:bottom w:val="single" w:sz="4" w:space="0" w:color="000000"/>
              <w:right w:val="single" w:sz="4" w:space="0" w:color="000000"/>
            </w:tcBorders>
          </w:tcPr>
          <w:p w14:paraId="76F3F349" w14:textId="77777777" w:rsidR="002C26E2" w:rsidRDefault="00812CB4">
            <w:pPr>
              <w:spacing w:after="0" w:line="259" w:lineRule="auto"/>
              <w:ind w:left="2" w:firstLine="0"/>
            </w:pPr>
            <w:r>
              <w:t xml:space="preserve">£237 </w:t>
            </w:r>
          </w:p>
        </w:tc>
      </w:tr>
      <w:tr w:rsidR="002C26E2" w14:paraId="530C5C4A" w14:textId="77777777">
        <w:trPr>
          <w:trHeight w:val="586"/>
        </w:trPr>
        <w:tc>
          <w:tcPr>
            <w:tcW w:w="2253" w:type="dxa"/>
            <w:tcBorders>
              <w:top w:val="single" w:sz="4" w:space="0" w:color="000000"/>
              <w:left w:val="single" w:sz="4" w:space="0" w:color="000000"/>
              <w:bottom w:val="single" w:sz="4" w:space="0" w:color="000000"/>
              <w:right w:val="single" w:sz="4" w:space="0" w:color="000000"/>
            </w:tcBorders>
          </w:tcPr>
          <w:p w14:paraId="4B0FE11D" w14:textId="77777777" w:rsidR="002C26E2" w:rsidRDefault="00812CB4">
            <w:pPr>
              <w:spacing w:after="0" w:line="259" w:lineRule="auto"/>
              <w:ind w:left="0" w:firstLine="0"/>
            </w:pPr>
            <w:r>
              <w:t xml:space="preserve">Led junior counsel </w:t>
            </w:r>
          </w:p>
        </w:tc>
        <w:tc>
          <w:tcPr>
            <w:tcW w:w="1853" w:type="dxa"/>
            <w:tcBorders>
              <w:top w:val="single" w:sz="4" w:space="0" w:color="000000"/>
              <w:left w:val="single" w:sz="4" w:space="0" w:color="000000"/>
              <w:bottom w:val="single" w:sz="4" w:space="0" w:color="000000"/>
              <w:right w:val="single" w:sz="4" w:space="0" w:color="000000"/>
            </w:tcBorders>
          </w:tcPr>
          <w:p w14:paraId="3B3BE4F6" w14:textId="77777777" w:rsidR="002C26E2" w:rsidRDefault="00812CB4">
            <w:pPr>
              <w:spacing w:after="0" w:line="259" w:lineRule="auto"/>
              <w:ind w:left="1" w:firstLine="0"/>
            </w:pPr>
            <w:r>
              <w:t xml:space="preserve">£125 </w:t>
            </w:r>
          </w:p>
        </w:tc>
        <w:tc>
          <w:tcPr>
            <w:tcW w:w="1985" w:type="dxa"/>
            <w:tcBorders>
              <w:top w:val="single" w:sz="4" w:space="0" w:color="000000"/>
              <w:left w:val="single" w:sz="4" w:space="0" w:color="000000"/>
              <w:bottom w:val="single" w:sz="4" w:space="0" w:color="000000"/>
              <w:right w:val="single" w:sz="4" w:space="0" w:color="000000"/>
            </w:tcBorders>
          </w:tcPr>
          <w:p w14:paraId="03CB7987" w14:textId="77777777" w:rsidR="002C26E2" w:rsidRDefault="00812CB4">
            <w:pPr>
              <w:spacing w:after="0" w:line="259" w:lineRule="auto"/>
              <w:ind w:left="1" w:firstLine="0"/>
            </w:pPr>
            <w:r>
              <w:t xml:space="preserve">£145 </w:t>
            </w:r>
          </w:p>
        </w:tc>
        <w:tc>
          <w:tcPr>
            <w:tcW w:w="1984" w:type="dxa"/>
            <w:tcBorders>
              <w:top w:val="single" w:sz="4" w:space="0" w:color="000000"/>
              <w:left w:val="single" w:sz="4" w:space="0" w:color="000000"/>
              <w:bottom w:val="single" w:sz="4" w:space="0" w:color="000000"/>
              <w:right w:val="single" w:sz="4" w:space="0" w:color="000000"/>
            </w:tcBorders>
          </w:tcPr>
          <w:p w14:paraId="3001E073" w14:textId="77777777" w:rsidR="002C26E2" w:rsidRDefault="00812CB4">
            <w:pPr>
              <w:spacing w:after="0" w:line="259" w:lineRule="auto"/>
              <w:ind w:left="2" w:firstLine="0"/>
            </w:pPr>
            <w:r>
              <w:t xml:space="preserve">£158 </w:t>
            </w:r>
          </w:p>
        </w:tc>
      </w:tr>
      <w:tr w:rsidR="002C26E2" w14:paraId="5EAA49A4" w14:textId="77777777">
        <w:trPr>
          <w:trHeight w:val="583"/>
        </w:trPr>
        <w:tc>
          <w:tcPr>
            <w:tcW w:w="2253" w:type="dxa"/>
            <w:tcBorders>
              <w:top w:val="single" w:sz="4" w:space="0" w:color="000000"/>
              <w:left w:val="single" w:sz="4" w:space="0" w:color="000000"/>
              <w:bottom w:val="single" w:sz="4" w:space="0" w:color="000000"/>
              <w:right w:val="single" w:sz="4" w:space="0" w:color="000000"/>
            </w:tcBorders>
          </w:tcPr>
          <w:p w14:paraId="1C3D6BC9" w14:textId="77777777" w:rsidR="002C26E2" w:rsidRDefault="00812CB4">
            <w:pPr>
              <w:spacing w:after="0" w:line="259" w:lineRule="auto"/>
              <w:ind w:left="0" w:firstLine="0"/>
            </w:pPr>
            <w:r>
              <w:t xml:space="preserve">Sole junior counsel </w:t>
            </w:r>
          </w:p>
        </w:tc>
        <w:tc>
          <w:tcPr>
            <w:tcW w:w="1853" w:type="dxa"/>
            <w:tcBorders>
              <w:top w:val="single" w:sz="4" w:space="0" w:color="000000"/>
              <w:left w:val="single" w:sz="4" w:space="0" w:color="000000"/>
              <w:bottom w:val="single" w:sz="4" w:space="0" w:color="000000"/>
              <w:right w:val="single" w:sz="4" w:space="0" w:color="000000"/>
            </w:tcBorders>
          </w:tcPr>
          <w:p w14:paraId="7B5CBCE2" w14:textId="77777777" w:rsidR="002C26E2" w:rsidRDefault="00812CB4">
            <w:pPr>
              <w:spacing w:after="0" w:line="259" w:lineRule="auto"/>
              <w:ind w:left="1" w:firstLine="0"/>
            </w:pPr>
            <w:r>
              <w:t xml:space="preserve">£163 </w:t>
            </w:r>
          </w:p>
        </w:tc>
        <w:tc>
          <w:tcPr>
            <w:tcW w:w="1985" w:type="dxa"/>
            <w:tcBorders>
              <w:top w:val="single" w:sz="4" w:space="0" w:color="000000"/>
              <w:left w:val="single" w:sz="4" w:space="0" w:color="000000"/>
              <w:bottom w:val="single" w:sz="4" w:space="0" w:color="000000"/>
              <w:right w:val="single" w:sz="4" w:space="0" w:color="000000"/>
            </w:tcBorders>
          </w:tcPr>
          <w:p w14:paraId="2FC71327" w14:textId="77777777" w:rsidR="002C26E2" w:rsidRDefault="00812CB4">
            <w:pPr>
              <w:spacing w:after="0" w:line="259" w:lineRule="auto"/>
              <w:ind w:left="1" w:firstLine="0"/>
            </w:pPr>
            <w:r>
              <w:t xml:space="preserve">£189 </w:t>
            </w:r>
          </w:p>
        </w:tc>
        <w:tc>
          <w:tcPr>
            <w:tcW w:w="1984" w:type="dxa"/>
            <w:tcBorders>
              <w:top w:val="single" w:sz="4" w:space="0" w:color="000000"/>
              <w:left w:val="single" w:sz="4" w:space="0" w:color="000000"/>
              <w:bottom w:val="single" w:sz="4" w:space="0" w:color="000000"/>
              <w:right w:val="single" w:sz="4" w:space="0" w:color="000000"/>
            </w:tcBorders>
          </w:tcPr>
          <w:p w14:paraId="03368C20" w14:textId="77777777" w:rsidR="002C26E2" w:rsidRDefault="00812CB4">
            <w:pPr>
              <w:spacing w:after="0" w:line="259" w:lineRule="auto"/>
              <w:ind w:left="2" w:firstLine="0"/>
            </w:pPr>
            <w:r>
              <w:t xml:space="preserve">£205 </w:t>
            </w:r>
          </w:p>
        </w:tc>
      </w:tr>
    </w:tbl>
    <w:p w14:paraId="45D80441" w14:textId="77777777" w:rsidR="002C26E2" w:rsidRDefault="00812CB4" w:rsidP="00444ECE">
      <w:pPr>
        <w:spacing w:after="120" w:line="259" w:lineRule="auto"/>
        <w:ind w:left="12" w:firstLine="0"/>
      </w:pPr>
      <w:r>
        <w:rPr>
          <w:color w:val="0A0A0A"/>
        </w:rPr>
        <w:t xml:space="preserve"> </w:t>
      </w:r>
    </w:p>
    <w:p w14:paraId="0B27FCC5" w14:textId="77777777" w:rsidR="002C26E2" w:rsidRDefault="00812CB4">
      <w:pPr>
        <w:pStyle w:val="Heading2"/>
        <w:spacing w:after="0" w:line="606" w:lineRule="auto"/>
        <w:ind w:left="849" w:right="1197" w:hanging="852"/>
      </w:pPr>
      <w:bookmarkStart w:id="66" w:name="_Toc107604"/>
      <w:r>
        <w:rPr>
          <w:color w:val="004E9A"/>
          <w:sz w:val="28"/>
        </w:rPr>
        <w:t>R</w:t>
      </w:r>
      <w:r>
        <w:rPr>
          <w:color w:val="004E9A"/>
        </w:rPr>
        <w:t>ECOMMENDATION</w:t>
      </w:r>
      <w:r>
        <w:rPr>
          <w:color w:val="004E9A"/>
          <w:sz w:val="28"/>
        </w:rPr>
        <w:t>:</w:t>
      </w:r>
      <w:r>
        <w:rPr>
          <w:color w:val="004E9A"/>
        </w:rPr>
        <w:t xml:space="preserve"> </w:t>
      </w:r>
      <w:r>
        <w:rPr>
          <w:color w:val="004E9A"/>
          <w:sz w:val="28"/>
        </w:rPr>
        <w:t>S</w:t>
      </w:r>
      <w:r>
        <w:rPr>
          <w:color w:val="004E9A"/>
        </w:rPr>
        <w:t xml:space="preserve">KELETON </w:t>
      </w:r>
      <w:r>
        <w:rPr>
          <w:color w:val="004E9A"/>
          <w:sz w:val="28"/>
        </w:rPr>
        <w:t>A</w:t>
      </w:r>
      <w:r>
        <w:rPr>
          <w:color w:val="004E9A"/>
        </w:rPr>
        <w:t>RGUMENTS</w:t>
      </w:r>
      <w:r>
        <w:rPr>
          <w:color w:val="004E9A"/>
          <w:sz w:val="28"/>
        </w:rPr>
        <w:t xml:space="preserve"> </w:t>
      </w:r>
      <w:bookmarkEnd w:id="66"/>
    </w:p>
    <w:p w14:paraId="1818CC2A" w14:textId="77777777" w:rsidR="002C26E2" w:rsidRDefault="00812CB4">
      <w:pPr>
        <w:spacing w:after="0" w:line="606" w:lineRule="auto"/>
        <w:ind w:left="7" w:right="1197"/>
      </w:pPr>
      <w:r>
        <w:rPr>
          <w:b/>
          <w:u w:val="single" w:color="000000"/>
        </w:rPr>
        <w:t>Recommendation 11:</w:t>
      </w:r>
      <w:r>
        <w:rPr>
          <w:b/>
        </w:rPr>
        <w:t xml:space="preserve"> </w:t>
      </w:r>
    </w:p>
    <w:p w14:paraId="0A5D1C63" w14:textId="77777777" w:rsidR="002C26E2" w:rsidRDefault="00812CB4">
      <w:pPr>
        <w:spacing w:after="117" w:line="259" w:lineRule="auto"/>
        <w:ind w:left="7" w:right="225"/>
      </w:pPr>
      <w:r>
        <w:t xml:space="preserve">Fees payable for sentencing skeleton arguments should be increased in line with the </w:t>
      </w:r>
    </w:p>
    <w:p w14:paraId="3116AD20" w14:textId="77777777" w:rsidR="002C26E2" w:rsidRDefault="00812CB4">
      <w:pPr>
        <w:ind w:left="7" w:right="225"/>
      </w:pPr>
      <w:r>
        <w:rPr>
          <w:b/>
        </w:rPr>
        <w:t>26.05% uplift</w:t>
      </w:r>
      <w:r>
        <w:t xml:space="preserve"> applied to standard fees generally. No separate time-based remuneration should be introduced in the absence of robust and validated evidence.</w:t>
      </w:r>
      <w:r>
        <w:rPr>
          <w:color w:val="0A0A0A"/>
        </w:rPr>
        <w:t xml:space="preserve"> </w:t>
      </w:r>
    </w:p>
    <w:p w14:paraId="4DFC7014" w14:textId="77777777" w:rsidR="002C26E2" w:rsidRDefault="00812CB4">
      <w:pPr>
        <w:spacing w:after="109" w:line="265" w:lineRule="auto"/>
        <w:ind w:left="7"/>
      </w:pPr>
      <w:r>
        <w:rPr>
          <w:u w:val="single" w:color="000000"/>
        </w:rPr>
        <w:t>Costs</w:t>
      </w:r>
      <w:r>
        <w:t xml:space="preserve"> </w:t>
      </w:r>
    </w:p>
    <w:p w14:paraId="686485BB" w14:textId="77777777" w:rsidR="002C26E2" w:rsidRDefault="00812CB4">
      <w:pPr>
        <w:spacing w:after="265"/>
        <w:ind w:left="7" w:right="225"/>
      </w:pPr>
      <w:r>
        <w:t xml:space="preserve">It is forecast that implementation of recommendation 11 will lead to additional legal aid costs per year of £30k.  </w:t>
      </w:r>
    </w:p>
    <w:p w14:paraId="7DE8C381" w14:textId="77777777" w:rsidR="00444ECE" w:rsidRDefault="00444ECE">
      <w:pPr>
        <w:pStyle w:val="Heading1"/>
        <w:spacing w:after="0" w:line="259" w:lineRule="auto"/>
        <w:ind w:left="849" w:hanging="852"/>
        <w:rPr>
          <w:color w:val="004E9A"/>
          <w:sz w:val="36"/>
        </w:rPr>
        <w:sectPr w:rsidR="00444ECE">
          <w:pgSz w:w="11906" w:h="16838"/>
          <w:pgMar w:top="1222" w:right="1213" w:bottom="1358" w:left="1428" w:header="720" w:footer="707" w:gutter="0"/>
          <w:cols w:space="720"/>
        </w:sectPr>
      </w:pPr>
      <w:bookmarkStart w:id="67" w:name="_Toc107605"/>
    </w:p>
    <w:p w14:paraId="1C17E801" w14:textId="77777777" w:rsidR="002C26E2" w:rsidRDefault="00812CB4">
      <w:pPr>
        <w:pStyle w:val="Heading1"/>
        <w:spacing w:after="0" w:line="259" w:lineRule="auto"/>
        <w:ind w:left="849" w:hanging="852"/>
      </w:pPr>
      <w:r>
        <w:rPr>
          <w:color w:val="004E9A"/>
          <w:sz w:val="36"/>
        </w:rPr>
        <w:t>C</w:t>
      </w:r>
      <w:r>
        <w:rPr>
          <w:color w:val="004E9A"/>
          <w:sz w:val="29"/>
        </w:rPr>
        <w:t>ONSULTATIONS</w:t>
      </w:r>
      <w:r>
        <w:rPr>
          <w:color w:val="004E9A"/>
          <w:sz w:val="36"/>
        </w:rPr>
        <w:t xml:space="preserve"> </w:t>
      </w:r>
      <w:bookmarkEnd w:id="67"/>
    </w:p>
    <w:p w14:paraId="5C2C3F36" w14:textId="77777777" w:rsidR="002C26E2" w:rsidRDefault="00812CB4">
      <w:pPr>
        <w:spacing w:after="212" w:line="259" w:lineRule="auto"/>
        <w:ind w:left="-17" w:firstLine="0"/>
      </w:pPr>
      <w:r>
        <w:rPr>
          <w:rFonts w:ascii="Calibri" w:eastAsia="Calibri" w:hAnsi="Calibri" w:cs="Calibri"/>
          <w:noProof/>
          <w:sz w:val="22"/>
        </w:rPr>
        <mc:AlternateContent>
          <mc:Choice Requires="wpg">
            <w:drawing>
              <wp:inline distT="0" distB="0" distL="0" distR="0" wp14:anchorId="7F50DBC0" wp14:editId="5C0B4418">
                <wp:extent cx="5769610" cy="6096"/>
                <wp:effectExtent l="0" t="0" r="0" b="0"/>
                <wp:docPr id="99026" name="Group 99026"/>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13" name="Shape 110013"/>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99026" style="width:454.3pt;height:0.47998pt;mso-position-horizontal-relative:char;mso-position-vertical-relative:line" coordsize="57696,60">
                <v:shape id="Shape 110014"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2881D415" w14:textId="77777777" w:rsidR="002C26E2" w:rsidRDefault="00812CB4">
      <w:pPr>
        <w:spacing w:after="446"/>
        <w:ind w:left="7" w:right="225"/>
      </w:pPr>
      <w:r>
        <w:t xml:space="preserve">This section examines the current remuneration arrangements for </w:t>
      </w:r>
      <w:r>
        <w:rPr>
          <w:b/>
        </w:rPr>
        <w:t>consultations in the Crown Court</w:t>
      </w:r>
      <w:r>
        <w:t xml:space="preserve">, considers the rates sought in the Submissions (particularly those from the Criminal Bar Association), evaluates the evidential basis for those requests, </w:t>
      </w:r>
      <w:r>
        <w:t xml:space="preserve">and sets out the Review Team’s recommendations within the scope of the </w:t>
      </w:r>
      <w:r>
        <w:t xml:space="preserve">Accelerated Review. </w:t>
      </w:r>
    </w:p>
    <w:p w14:paraId="17B1FED3" w14:textId="77777777" w:rsidR="002C26E2" w:rsidRDefault="00812CB4">
      <w:pPr>
        <w:pStyle w:val="Heading2"/>
        <w:spacing w:after="310"/>
        <w:ind w:left="849" w:right="200" w:hanging="852"/>
      </w:pPr>
      <w:bookmarkStart w:id="68" w:name="_Toc107606"/>
      <w:r>
        <w:rPr>
          <w:color w:val="004E9A"/>
          <w:sz w:val="28"/>
        </w:rPr>
        <w:t>E</w:t>
      </w:r>
      <w:r>
        <w:rPr>
          <w:color w:val="004E9A"/>
        </w:rPr>
        <w:t>XISTING POSITION</w:t>
      </w:r>
      <w:r>
        <w:rPr>
          <w:color w:val="004E9A"/>
          <w:sz w:val="28"/>
        </w:rPr>
        <w:t xml:space="preserve"> </w:t>
      </w:r>
      <w:bookmarkEnd w:id="68"/>
    </w:p>
    <w:p w14:paraId="2289AC49" w14:textId="77777777" w:rsidR="002C26E2" w:rsidRDefault="00812CB4">
      <w:pPr>
        <w:spacing w:after="229" w:line="265" w:lineRule="auto"/>
        <w:ind w:left="7"/>
      </w:pPr>
      <w:r>
        <w:rPr>
          <w:u w:val="single" w:color="000000"/>
        </w:rPr>
        <w:t>Current consultation fee arrangements</w:t>
      </w:r>
      <w:r>
        <w:t xml:space="preserve"> </w:t>
      </w:r>
    </w:p>
    <w:p w14:paraId="16A338E0" w14:textId="77777777" w:rsidR="002C26E2" w:rsidRDefault="00812CB4">
      <w:pPr>
        <w:spacing w:line="259" w:lineRule="auto"/>
        <w:ind w:left="7" w:right="225"/>
      </w:pPr>
      <w:r>
        <w:t xml:space="preserve">Under the current arrangements: </w:t>
      </w:r>
    </w:p>
    <w:p w14:paraId="0EC9A060" w14:textId="77777777" w:rsidR="002C26E2" w:rsidRDefault="00812CB4">
      <w:pPr>
        <w:numPr>
          <w:ilvl w:val="0"/>
          <w:numId w:val="55"/>
        </w:numPr>
        <w:spacing w:line="259" w:lineRule="auto"/>
        <w:ind w:right="225" w:hanging="355"/>
      </w:pPr>
      <w:r>
        <w:rPr>
          <w:b/>
        </w:rPr>
        <w:t>Barristers</w:t>
      </w:r>
      <w:r>
        <w:t xml:space="preserve"> are entitled to a specific hourly fee for Crown Court consultations. </w:t>
      </w:r>
    </w:p>
    <w:p w14:paraId="681A42C9" w14:textId="77777777" w:rsidR="002C26E2" w:rsidRDefault="00812CB4">
      <w:pPr>
        <w:numPr>
          <w:ilvl w:val="0"/>
          <w:numId w:val="55"/>
        </w:numPr>
        <w:spacing w:after="112"/>
        <w:ind w:right="225" w:hanging="355"/>
      </w:pPr>
      <w:r>
        <w:rPr>
          <w:b/>
        </w:rPr>
        <w:t>Solicitors</w:t>
      </w:r>
      <w:r>
        <w:t xml:space="preserve"> are not paid a separate Crown Court consultation fee; instead, such work is said by the Department to be included within standard Crown Court fees. </w:t>
      </w:r>
    </w:p>
    <w:p w14:paraId="528116E6" w14:textId="77777777" w:rsidR="002C26E2" w:rsidRDefault="00812CB4">
      <w:pPr>
        <w:numPr>
          <w:ilvl w:val="0"/>
          <w:numId w:val="55"/>
        </w:numPr>
        <w:ind w:right="225" w:hanging="355"/>
      </w:pPr>
      <w:r>
        <w:t xml:space="preserve">In </w:t>
      </w:r>
      <w:r>
        <w:rPr>
          <w:b/>
        </w:rPr>
        <w:t>practice</w:t>
      </w:r>
      <w:r>
        <w:t xml:space="preserve">, some consultation-related work by solicitors is recovered through </w:t>
      </w:r>
      <w:r>
        <w:rPr>
          <w:b/>
        </w:rPr>
        <w:t>Exceptional Preparation (EP)</w:t>
      </w:r>
      <w:r>
        <w:t xml:space="preserve"> claims. </w:t>
      </w:r>
    </w:p>
    <w:p w14:paraId="3D585563" w14:textId="77777777" w:rsidR="002C26E2" w:rsidRDefault="00812CB4">
      <w:pPr>
        <w:ind w:left="7" w:right="225"/>
      </w:pPr>
      <w:proofErr w:type="gramStart"/>
      <w:r>
        <w:t>In reality, a</w:t>
      </w:r>
      <w:proofErr w:type="gramEnd"/>
      <w:r>
        <w:t xml:space="preserve"> barrister must be accompanied by a solicitor for any consultation to take place with their clients. While this could appear to be inherently unfair; that barristers are paid a separate fee for the consultation and solicitors are not, as noted above, the Department maintains that consultations are included within the standard Crown Court fees that are payable to solicitors. </w:t>
      </w:r>
    </w:p>
    <w:p w14:paraId="00D09D05" w14:textId="77777777" w:rsidR="002C26E2" w:rsidRDefault="00812CB4">
      <w:pPr>
        <w:spacing w:after="450"/>
        <w:ind w:left="7" w:right="225"/>
      </w:pPr>
      <w:r>
        <w:t xml:space="preserve">Consultation fees for barristers are currently set as hourly rates, last substantively set in 2015 and subject to the recent 16% uplift. </w:t>
      </w:r>
    </w:p>
    <w:p w14:paraId="5E248B6D" w14:textId="77777777" w:rsidR="002C26E2" w:rsidRDefault="00812CB4">
      <w:pPr>
        <w:pStyle w:val="Heading2"/>
        <w:ind w:left="849" w:right="200" w:hanging="852"/>
      </w:pPr>
      <w:bookmarkStart w:id="69" w:name="_Toc107607"/>
      <w:r>
        <w:rPr>
          <w:color w:val="004E9A"/>
          <w:sz w:val="28"/>
        </w:rPr>
        <w:t>R</w:t>
      </w:r>
      <w:r>
        <w:rPr>
          <w:color w:val="004E9A"/>
        </w:rPr>
        <w:t xml:space="preserve">EQUESTS MADE IN THE </w:t>
      </w:r>
      <w:r>
        <w:rPr>
          <w:color w:val="004E9A"/>
          <w:sz w:val="28"/>
        </w:rPr>
        <w:t>S</w:t>
      </w:r>
      <w:r>
        <w:rPr>
          <w:color w:val="004E9A"/>
        </w:rPr>
        <w:t>UBMISSIONS</w:t>
      </w:r>
      <w:r>
        <w:rPr>
          <w:color w:val="004E9A"/>
          <w:sz w:val="28"/>
        </w:rPr>
        <w:t xml:space="preserve"> </w:t>
      </w:r>
      <w:bookmarkEnd w:id="69"/>
    </w:p>
    <w:p w14:paraId="3B05C0CC" w14:textId="77777777" w:rsidR="002C26E2" w:rsidRDefault="00812CB4">
      <w:pPr>
        <w:spacing w:after="349" w:line="265" w:lineRule="auto"/>
        <w:ind w:left="7"/>
      </w:pPr>
      <w:r>
        <w:rPr>
          <w:u w:val="single" w:color="000000"/>
        </w:rPr>
        <w:t>Rates sought by the CBA</w:t>
      </w:r>
      <w:r>
        <w:t xml:space="preserve"> </w:t>
      </w:r>
    </w:p>
    <w:p w14:paraId="66C21C23" w14:textId="77777777" w:rsidR="002C26E2" w:rsidRDefault="00812CB4">
      <w:pPr>
        <w:spacing w:line="259" w:lineRule="auto"/>
        <w:ind w:left="7" w:right="225"/>
      </w:pPr>
      <w:r>
        <w:t xml:space="preserve">The CBA requests that consultation fees be increased to the following hourly rates: </w:t>
      </w:r>
    </w:p>
    <w:p w14:paraId="3FBE563D" w14:textId="77777777" w:rsidR="002C26E2" w:rsidRDefault="00812CB4">
      <w:pPr>
        <w:numPr>
          <w:ilvl w:val="0"/>
          <w:numId w:val="56"/>
        </w:numPr>
        <w:spacing w:line="259" w:lineRule="auto"/>
        <w:ind w:right="225" w:hanging="355"/>
      </w:pPr>
      <w:r>
        <w:rPr>
          <w:b/>
        </w:rPr>
        <w:t>£225/hour</w:t>
      </w:r>
      <w:r>
        <w:t xml:space="preserve"> for Senior Counsel </w:t>
      </w:r>
    </w:p>
    <w:p w14:paraId="03FF2EBE" w14:textId="77777777" w:rsidR="002C26E2" w:rsidRDefault="00812CB4">
      <w:pPr>
        <w:numPr>
          <w:ilvl w:val="0"/>
          <w:numId w:val="56"/>
        </w:numPr>
        <w:spacing w:line="259" w:lineRule="auto"/>
        <w:ind w:right="225" w:hanging="355"/>
      </w:pPr>
      <w:r>
        <w:rPr>
          <w:b/>
        </w:rPr>
        <w:t>£137.50/hour</w:t>
      </w:r>
      <w:r>
        <w:t xml:space="preserve"> for Sole Junior Counsel </w:t>
      </w:r>
    </w:p>
    <w:p w14:paraId="6FB0D48F" w14:textId="77777777" w:rsidR="002C26E2" w:rsidRDefault="00812CB4">
      <w:pPr>
        <w:numPr>
          <w:ilvl w:val="0"/>
          <w:numId w:val="56"/>
        </w:numPr>
        <w:spacing w:after="355" w:line="259" w:lineRule="auto"/>
        <w:ind w:right="225" w:hanging="355"/>
      </w:pPr>
      <w:r>
        <w:rPr>
          <w:b/>
        </w:rPr>
        <w:t>£112.50/hour</w:t>
      </w:r>
      <w:r>
        <w:t xml:space="preserve"> </w:t>
      </w:r>
      <w:r>
        <w:t xml:space="preserve">for Led Junior Counsel </w:t>
      </w:r>
    </w:p>
    <w:p w14:paraId="6DD77239" w14:textId="77777777" w:rsidR="002C26E2" w:rsidRDefault="00812CB4">
      <w:pPr>
        <w:ind w:left="7" w:right="225"/>
      </w:pPr>
      <w:r>
        <w:t xml:space="preserve">If implemented, these rates would represent increases of between </w:t>
      </w:r>
      <w:r>
        <w:rPr>
          <w:b/>
        </w:rPr>
        <w:t>235% and 263%</w:t>
      </w:r>
      <w:r>
        <w:t xml:space="preserve"> over the consultation hourly rates applicable prior to the 16% uplift. </w:t>
      </w:r>
    </w:p>
    <w:p w14:paraId="7D45F3B5" w14:textId="77777777" w:rsidR="002C26E2" w:rsidRDefault="00812CB4">
      <w:pPr>
        <w:spacing w:after="349" w:line="265" w:lineRule="auto"/>
        <w:ind w:left="7"/>
      </w:pPr>
      <w:r>
        <w:rPr>
          <w:u w:val="single" w:color="000000"/>
        </w:rPr>
        <w:t>Evidence relied upon</w:t>
      </w:r>
      <w:r>
        <w:t xml:space="preserve"> </w:t>
      </w:r>
    </w:p>
    <w:p w14:paraId="7FA36275" w14:textId="77777777" w:rsidR="002C26E2" w:rsidRDefault="00812CB4">
      <w:pPr>
        <w:spacing w:line="259" w:lineRule="auto"/>
        <w:ind w:left="7" w:right="225"/>
      </w:pPr>
      <w:r>
        <w:t xml:space="preserve">The evidential basis advanced for these rates consists primarily of: </w:t>
      </w:r>
    </w:p>
    <w:p w14:paraId="3A051E83" w14:textId="77777777" w:rsidR="002C26E2" w:rsidRDefault="00812CB4">
      <w:pPr>
        <w:numPr>
          <w:ilvl w:val="0"/>
          <w:numId w:val="56"/>
        </w:numPr>
        <w:spacing w:line="259" w:lineRule="auto"/>
        <w:ind w:right="225" w:hanging="355"/>
      </w:pPr>
      <w:r>
        <w:t xml:space="preserve">references to </w:t>
      </w:r>
      <w:r>
        <w:rPr>
          <w:b/>
        </w:rPr>
        <w:t>GLSNI rates</w:t>
      </w:r>
      <w:r>
        <w:t xml:space="preserve">; </w:t>
      </w:r>
    </w:p>
    <w:p w14:paraId="717052BD" w14:textId="77777777" w:rsidR="002C26E2" w:rsidRDefault="00812CB4">
      <w:pPr>
        <w:numPr>
          <w:ilvl w:val="0"/>
          <w:numId w:val="56"/>
        </w:numPr>
        <w:spacing w:line="259" w:lineRule="auto"/>
        <w:ind w:right="225" w:hanging="355"/>
      </w:pPr>
      <w:r>
        <w:t xml:space="preserve">high-level references to rates in </w:t>
      </w:r>
      <w:r>
        <w:rPr>
          <w:b/>
        </w:rPr>
        <w:t>England &amp; Wales</w:t>
      </w:r>
      <w:r>
        <w:t xml:space="preserve">; and </w:t>
      </w:r>
    </w:p>
    <w:p w14:paraId="7D2323FA" w14:textId="77777777" w:rsidR="002C26E2" w:rsidRDefault="00812CB4">
      <w:pPr>
        <w:numPr>
          <w:ilvl w:val="0"/>
          <w:numId w:val="56"/>
        </w:numPr>
        <w:spacing w:after="568" w:line="265" w:lineRule="auto"/>
        <w:ind w:right="225" w:hanging="355"/>
      </w:pPr>
      <w:r>
        <w:t xml:space="preserve">analogies with </w:t>
      </w:r>
      <w:r>
        <w:rPr>
          <w:b/>
        </w:rPr>
        <w:t>High Court consultation rates</w:t>
      </w:r>
      <w:r>
        <w:t xml:space="preserve">. </w:t>
      </w:r>
    </w:p>
    <w:p w14:paraId="48282FD2" w14:textId="77777777" w:rsidR="002C26E2" w:rsidRDefault="00812CB4">
      <w:pPr>
        <w:pStyle w:val="Heading2"/>
        <w:ind w:left="849" w:right="200" w:hanging="852"/>
      </w:pPr>
      <w:bookmarkStart w:id="70" w:name="_Toc107608"/>
      <w:r>
        <w:rPr>
          <w:color w:val="004E9A"/>
          <w:sz w:val="28"/>
        </w:rPr>
        <w:t>A</w:t>
      </w:r>
      <w:r>
        <w:rPr>
          <w:color w:val="004E9A"/>
        </w:rPr>
        <w:t>SSESSMENT OF THE EVIDENCE</w:t>
      </w:r>
      <w:r>
        <w:rPr>
          <w:color w:val="004E9A"/>
          <w:sz w:val="28"/>
        </w:rPr>
        <w:t xml:space="preserve"> </w:t>
      </w:r>
      <w:bookmarkEnd w:id="70"/>
    </w:p>
    <w:p w14:paraId="48BF6AD3" w14:textId="77777777" w:rsidR="002C26E2" w:rsidRDefault="00812CB4">
      <w:pPr>
        <w:ind w:left="7" w:right="225"/>
      </w:pPr>
      <w:r>
        <w:t>We have referred in an earlier section, under the heading ‘</w:t>
      </w:r>
      <w:r>
        <w:rPr>
          <w:b/>
        </w:rPr>
        <w:t>Comparables</w:t>
      </w:r>
      <w:r>
        <w:t xml:space="preserve">’ to the </w:t>
      </w:r>
      <w:r>
        <w:t xml:space="preserve">hourly rates under the GLSNI scheme, with comparable factors impacting on the DLSNI and ICRIR schemes and have considered how they should inform a rate for </w:t>
      </w:r>
      <w:r>
        <w:t xml:space="preserve">‘Consultations’.  </w:t>
      </w:r>
      <w:r>
        <w:t xml:space="preserve">Some of the key points are summarised below. </w:t>
      </w:r>
    </w:p>
    <w:p w14:paraId="7271EAD4" w14:textId="77777777" w:rsidR="002C26E2" w:rsidRDefault="00812CB4">
      <w:pPr>
        <w:ind w:left="7" w:right="225"/>
      </w:pPr>
      <w:r>
        <w:t xml:space="preserve">As regards those used in England and Wales, the CBA submission in dealing with </w:t>
      </w:r>
      <w:r>
        <w:t xml:space="preserve">consultations advises that, given the very many differences in approach, ‘caution </w:t>
      </w:r>
      <w:r>
        <w:t xml:space="preserve">should be exercised before suggesting there should be comparisons drawn between the two fees schemes. Indeed, in the different context at paragraph 97b it is </w:t>
      </w:r>
      <w:r>
        <w:t xml:space="preserve">cautioned that ‘any direct comparison with England and Wales model is demonstratively unreliable’. We have therefore been unable to draw any assistance </w:t>
      </w:r>
      <w:r>
        <w:t xml:space="preserve">from this comparable. </w:t>
      </w:r>
    </w:p>
    <w:p w14:paraId="174AC07A" w14:textId="77777777" w:rsidR="002C26E2" w:rsidRDefault="00812CB4">
      <w:pPr>
        <w:ind w:left="7" w:right="225"/>
      </w:pPr>
      <w:r>
        <w:t xml:space="preserve">As such, we find it impossible to recommend increases of the level that has been requested.  </w:t>
      </w:r>
    </w:p>
    <w:p w14:paraId="29C6CCBB" w14:textId="77777777" w:rsidR="002C26E2" w:rsidRDefault="00812CB4">
      <w:pPr>
        <w:spacing w:after="349" w:line="265" w:lineRule="auto"/>
        <w:ind w:left="7"/>
      </w:pPr>
      <w:r>
        <w:rPr>
          <w:u w:val="single" w:color="000000"/>
        </w:rPr>
        <w:t>GLSNI and other scheme comparisons</w:t>
      </w:r>
      <w:r>
        <w:t xml:space="preserve"> </w:t>
      </w:r>
    </w:p>
    <w:p w14:paraId="4AA8F58E" w14:textId="77777777" w:rsidR="002C26E2" w:rsidRDefault="00812CB4">
      <w:pPr>
        <w:ind w:left="7" w:right="225"/>
      </w:pPr>
      <w:r>
        <w:t xml:space="preserve">As set out elsewhere in this report, GLSNI rates operate within a materially different framework, with distinct contractual, structural, and evidential features. While such schemes may be informative at a high level, they cannot be transposed mechanically into the criminal legal aid context in Northern Ireland. </w:t>
      </w:r>
    </w:p>
    <w:p w14:paraId="4EE11756" w14:textId="77777777" w:rsidR="002C26E2" w:rsidRDefault="00812CB4">
      <w:pPr>
        <w:spacing w:after="349" w:line="265" w:lineRule="auto"/>
        <w:ind w:left="7"/>
      </w:pPr>
      <w:r>
        <w:rPr>
          <w:u w:val="single" w:color="000000"/>
        </w:rPr>
        <w:t>England and Wales comparators</w:t>
      </w:r>
      <w:r>
        <w:t xml:space="preserve"> </w:t>
      </w:r>
    </w:p>
    <w:p w14:paraId="2C491469" w14:textId="77777777" w:rsidR="002C26E2" w:rsidRDefault="00812CB4">
      <w:pPr>
        <w:ind w:left="7" w:right="225"/>
      </w:pPr>
      <w:r>
        <w:t xml:space="preserve">The Review Team notes that the CBA itself cautions against direct comparison with the England and Wales model, stating elsewhere in its submission that such </w:t>
      </w:r>
      <w:r>
        <w:t xml:space="preserve">comparisons are “demonstrably unreliable”. </w:t>
      </w:r>
      <w:proofErr w:type="gramStart"/>
      <w:r>
        <w:t>In light of</w:t>
      </w:r>
      <w:proofErr w:type="gramEnd"/>
      <w:r>
        <w:t xml:space="preserve"> that concession, the Review </w:t>
      </w:r>
      <w:r>
        <w:t xml:space="preserve">Team does not consider this comparator capable of supporting the scale of increase requested. </w:t>
      </w:r>
    </w:p>
    <w:p w14:paraId="0AA0D5A4" w14:textId="77777777" w:rsidR="002C26E2" w:rsidRDefault="00812CB4">
      <w:pPr>
        <w:spacing w:after="349" w:line="265" w:lineRule="auto"/>
        <w:ind w:left="7"/>
      </w:pPr>
      <w:r>
        <w:rPr>
          <w:u w:val="single" w:color="000000"/>
        </w:rPr>
        <w:t>High Court consultation rates</w:t>
      </w:r>
      <w:r>
        <w:t xml:space="preserve"> </w:t>
      </w:r>
    </w:p>
    <w:p w14:paraId="5730B1B8" w14:textId="77777777" w:rsidR="002C26E2" w:rsidRDefault="00812CB4">
      <w:pPr>
        <w:spacing w:after="448"/>
        <w:ind w:left="7" w:right="225"/>
      </w:pPr>
      <w:r>
        <w:t xml:space="preserve">In relation to consultations in the High Court, we again are in the position of having no information evidencing the basis of the data informing the approach of the Taxing Master, which would allow a consideration of any relationship between the determination of those rates and the approach adopted by us set out under the </w:t>
      </w:r>
      <w:r>
        <w:t>headings ‘Hourly Rate</w:t>
      </w:r>
      <w:r>
        <w:t>-</w:t>
      </w:r>
      <w:r>
        <w:t>Barrister’ or ‘Hourly Rate</w:t>
      </w:r>
      <w:r>
        <w:t>-</w:t>
      </w:r>
      <w:r>
        <w:t xml:space="preserve">Solicitor’ </w:t>
      </w:r>
      <w:r>
        <w:t xml:space="preserve">for EP or other hourly-rated work. Accordingly, they cannot be relied upon as a validated benchmark for Crown Court consultations. </w:t>
      </w:r>
    </w:p>
    <w:p w14:paraId="021EC214" w14:textId="77777777" w:rsidR="002C26E2" w:rsidRDefault="00812CB4">
      <w:pPr>
        <w:pStyle w:val="Heading2"/>
        <w:ind w:left="849" w:right="200" w:hanging="852"/>
      </w:pPr>
      <w:bookmarkStart w:id="71" w:name="_Toc107609"/>
      <w:r>
        <w:rPr>
          <w:color w:val="004E9A"/>
          <w:sz w:val="28"/>
        </w:rPr>
        <w:t>A</w:t>
      </w:r>
      <w:r>
        <w:rPr>
          <w:color w:val="004E9A"/>
        </w:rPr>
        <w:t xml:space="preserve">NALYSIS OF </w:t>
      </w:r>
      <w:r>
        <w:rPr>
          <w:color w:val="004E9A"/>
          <w:sz w:val="28"/>
        </w:rPr>
        <w:t>C</w:t>
      </w:r>
      <w:r>
        <w:rPr>
          <w:color w:val="004E9A"/>
        </w:rPr>
        <w:t xml:space="preserve">URRENT </w:t>
      </w:r>
      <w:r>
        <w:rPr>
          <w:color w:val="004E9A"/>
          <w:sz w:val="28"/>
        </w:rPr>
        <w:t>A</w:t>
      </w:r>
      <w:r>
        <w:rPr>
          <w:color w:val="004E9A"/>
        </w:rPr>
        <w:t xml:space="preserve">RRANGEMENTS FOR </w:t>
      </w:r>
      <w:r>
        <w:rPr>
          <w:color w:val="004E9A"/>
          <w:sz w:val="28"/>
        </w:rPr>
        <w:t>C</w:t>
      </w:r>
      <w:r>
        <w:rPr>
          <w:color w:val="004E9A"/>
        </w:rPr>
        <w:t>ONSULTATIONS</w:t>
      </w:r>
      <w:r>
        <w:rPr>
          <w:color w:val="004E9A"/>
          <w:sz w:val="28"/>
        </w:rPr>
        <w:t xml:space="preserve"> </w:t>
      </w:r>
      <w:bookmarkEnd w:id="71"/>
    </w:p>
    <w:p w14:paraId="710831C2" w14:textId="77777777" w:rsidR="002C26E2" w:rsidRDefault="00812CB4">
      <w:pPr>
        <w:ind w:left="7" w:right="225"/>
      </w:pPr>
      <w:r>
        <w:t xml:space="preserve">In Northern Ireland, currently when solicitors carry out consultations with their clients they are not entitled to any additional Crown Court consultation fee. Yet, in the case of the barristers, they are paid a separate fee for the Consultation with the same client.  </w:t>
      </w:r>
      <w:r>
        <w:t xml:space="preserve">When solicitors claim and are granted EP, they will get some hours granted for consultations. </w:t>
      </w:r>
      <w:r>
        <w:t xml:space="preserve">Currently these EP charges for solicitors in 2025 totalled £112,767 in the Crown Court. </w:t>
      </w:r>
    </w:p>
    <w:p w14:paraId="6269DE08" w14:textId="77777777" w:rsidR="002C26E2" w:rsidRDefault="00812CB4">
      <w:pPr>
        <w:ind w:left="7" w:right="225"/>
      </w:pPr>
      <w:r>
        <w:t xml:space="preserve">In the case of counsel, they have also sought and been granted hours under an EP application for consultations. In 2025, £2,813 was claimed for consultations as Crown Court EP. </w:t>
      </w:r>
    </w:p>
    <w:p w14:paraId="1277C1BC" w14:textId="77777777" w:rsidR="002C26E2" w:rsidRDefault="00812CB4">
      <w:pPr>
        <w:ind w:left="7" w:right="225"/>
      </w:pPr>
      <w:r>
        <w:t xml:space="preserve">As it presently stands, Consultation fees are set as hourly rates, shown in the table below: </w:t>
      </w:r>
    </w:p>
    <w:tbl>
      <w:tblPr>
        <w:tblStyle w:val="TableGrid"/>
        <w:tblW w:w="7197" w:type="dxa"/>
        <w:tblInd w:w="18" w:type="dxa"/>
        <w:tblCellMar>
          <w:top w:w="55" w:type="dxa"/>
          <w:left w:w="107" w:type="dxa"/>
          <w:bottom w:w="0" w:type="dxa"/>
          <w:right w:w="94" w:type="dxa"/>
        </w:tblCellMar>
        <w:tblLook w:val="04A0" w:firstRow="1" w:lastRow="0" w:firstColumn="1" w:lastColumn="0" w:noHBand="0" w:noVBand="1"/>
      </w:tblPr>
      <w:tblGrid>
        <w:gridCol w:w="2689"/>
        <w:gridCol w:w="2255"/>
        <w:gridCol w:w="2253"/>
      </w:tblGrid>
      <w:tr w:rsidR="002C26E2" w14:paraId="68A9E0B1" w14:textId="77777777" w:rsidTr="00444ECE">
        <w:trPr>
          <w:trHeight w:val="994"/>
        </w:trPr>
        <w:tc>
          <w:tcPr>
            <w:tcW w:w="2689" w:type="dxa"/>
            <w:tcBorders>
              <w:top w:val="single" w:sz="4" w:space="0" w:color="000000"/>
              <w:left w:val="single" w:sz="4" w:space="0" w:color="000000"/>
              <w:bottom w:val="single" w:sz="4" w:space="0" w:color="000000"/>
              <w:right w:val="single" w:sz="4" w:space="0" w:color="000000"/>
            </w:tcBorders>
            <w:shd w:val="clear" w:color="auto" w:fill="424996"/>
          </w:tcPr>
          <w:p w14:paraId="113499E3" w14:textId="7687126F" w:rsidR="002C26E2" w:rsidRDefault="00812CB4">
            <w:pPr>
              <w:spacing w:after="0" w:line="259" w:lineRule="auto"/>
              <w:ind w:left="0" w:firstLine="0"/>
            </w:pPr>
            <w:r>
              <w:t xml:space="preserve"> </w:t>
            </w:r>
            <w:r>
              <w:rPr>
                <w:color w:val="FFFFFF"/>
              </w:rPr>
              <w:t xml:space="preserve"> </w:t>
            </w:r>
          </w:p>
        </w:tc>
        <w:tc>
          <w:tcPr>
            <w:tcW w:w="2255" w:type="dxa"/>
            <w:tcBorders>
              <w:top w:val="single" w:sz="4" w:space="0" w:color="000000"/>
              <w:left w:val="single" w:sz="4" w:space="0" w:color="000000"/>
              <w:bottom w:val="single" w:sz="4" w:space="0" w:color="000000"/>
              <w:right w:val="single" w:sz="4" w:space="0" w:color="000000"/>
            </w:tcBorders>
            <w:shd w:val="clear" w:color="auto" w:fill="424996"/>
          </w:tcPr>
          <w:p w14:paraId="2A00576F" w14:textId="77777777" w:rsidR="002C26E2" w:rsidRDefault="00812CB4">
            <w:pPr>
              <w:spacing w:after="0" w:line="259" w:lineRule="auto"/>
              <w:ind w:left="0" w:firstLine="0"/>
              <w:jc w:val="both"/>
            </w:pPr>
            <w:r>
              <w:rPr>
                <w:color w:val="FFFFFF"/>
              </w:rPr>
              <w:t xml:space="preserve">2015 Hourly Rates </w:t>
            </w:r>
          </w:p>
        </w:tc>
        <w:tc>
          <w:tcPr>
            <w:tcW w:w="2253" w:type="dxa"/>
            <w:tcBorders>
              <w:top w:val="single" w:sz="4" w:space="0" w:color="000000"/>
              <w:left w:val="single" w:sz="4" w:space="0" w:color="000000"/>
              <w:bottom w:val="single" w:sz="4" w:space="0" w:color="000000"/>
              <w:right w:val="single" w:sz="4" w:space="0" w:color="000000"/>
            </w:tcBorders>
            <w:shd w:val="clear" w:color="auto" w:fill="424996"/>
          </w:tcPr>
          <w:p w14:paraId="6A26F91D" w14:textId="77777777" w:rsidR="002C26E2" w:rsidRDefault="00812CB4">
            <w:pPr>
              <w:spacing w:after="115" w:line="259" w:lineRule="auto"/>
              <w:ind w:left="1" w:firstLine="0"/>
            </w:pPr>
            <w:r>
              <w:rPr>
                <w:color w:val="FFFFFF"/>
              </w:rPr>
              <w:t xml:space="preserve">2026 Rates with </w:t>
            </w:r>
          </w:p>
          <w:p w14:paraId="742FCBC9" w14:textId="77777777" w:rsidR="002C26E2" w:rsidRDefault="00812CB4">
            <w:pPr>
              <w:spacing w:after="0" w:line="259" w:lineRule="auto"/>
              <w:ind w:left="1" w:firstLine="0"/>
            </w:pPr>
            <w:r>
              <w:rPr>
                <w:color w:val="FFFFFF"/>
              </w:rPr>
              <w:t xml:space="preserve">16% uplift </w:t>
            </w:r>
          </w:p>
        </w:tc>
      </w:tr>
      <w:tr w:rsidR="002C26E2" w14:paraId="01C76D6A" w14:textId="77777777" w:rsidTr="00444ECE">
        <w:trPr>
          <w:trHeight w:val="587"/>
        </w:trPr>
        <w:tc>
          <w:tcPr>
            <w:tcW w:w="2689" w:type="dxa"/>
            <w:tcBorders>
              <w:top w:val="single" w:sz="4" w:space="0" w:color="000000"/>
              <w:left w:val="single" w:sz="4" w:space="0" w:color="000000"/>
              <w:bottom w:val="single" w:sz="4" w:space="0" w:color="000000"/>
              <w:right w:val="single" w:sz="4" w:space="0" w:color="000000"/>
            </w:tcBorders>
          </w:tcPr>
          <w:p w14:paraId="581DDE1C" w14:textId="77777777" w:rsidR="002C26E2" w:rsidRDefault="00812CB4">
            <w:pPr>
              <w:spacing w:after="0" w:line="259" w:lineRule="auto"/>
              <w:ind w:left="0" w:firstLine="0"/>
            </w:pPr>
            <w:r>
              <w:t xml:space="preserve">Solicitor </w:t>
            </w:r>
          </w:p>
        </w:tc>
        <w:tc>
          <w:tcPr>
            <w:tcW w:w="2255" w:type="dxa"/>
            <w:tcBorders>
              <w:top w:val="single" w:sz="4" w:space="0" w:color="000000"/>
              <w:left w:val="single" w:sz="4" w:space="0" w:color="000000"/>
              <w:bottom w:val="single" w:sz="4" w:space="0" w:color="000000"/>
              <w:right w:val="single" w:sz="4" w:space="0" w:color="000000"/>
            </w:tcBorders>
          </w:tcPr>
          <w:p w14:paraId="0CDEC306" w14:textId="77777777" w:rsidR="002C26E2" w:rsidRDefault="00812CB4">
            <w:pPr>
              <w:spacing w:after="0" w:line="259" w:lineRule="auto"/>
              <w:ind w:left="0" w:firstLine="0"/>
            </w:pPr>
            <w:r>
              <w:t xml:space="preserve">£0 </w:t>
            </w:r>
          </w:p>
        </w:tc>
        <w:tc>
          <w:tcPr>
            <w:tcW w:w="2253" w:type="dxa"/>
            <w:tcBorders>
              <w:top w:val="single" w:sz="4" w:space="0" w:color="000000"/>
              <w:left w:val="single" w:sz="4" w:space="0" w:color="000000"/>
              <w:bottom w:val="single" w:sz="4" w:space="0" w:color="000000"/>
              <w:right w:val="single" w:sz="4" w:space="0" w:color="000000"/>
            </w:tcBorders>
          </w:tcPr>
          <w:p w14:paraId="58EC7167" w14:textId="77777777" w:rsidR="002C26E2" w:rsidRDefault="00812CB4">
            <w:pPr>
              <w:spacing w:after="0" w:line="259" w:lineRule="auto"/>
              <w:ind w:left="1" w:firstLine="0"/>
            </w:pPr>
            <w:r>
              <w:t xml:space="preserve">£0 </w:t>
            </w:r>
          </w:p>
        </w:tc>
      </w:tr>
      <w:tr w:rsidR="002C26E2" w14:paraId="649CB5E5" w14:textId="77777777" w:rsidTr="00444ECE">
        <w:trPr>
          <w:trHeight w:val="583"/>
        </w:trPr>
        <w:tc>
          <w:tcPr>
            <w:tcW w:w="2689" w:type="dxa"/>
            <w:tcBorders>
              <w:top w:val="single" w:sz="4" w:space="0" w:color="000000"/>
              <w:left w:val="single" w:sz="4" w:space="0" w:color="000000"/>
              <w:bottom w:val="single" w:sz="4" w:space="0" w:color="000000"/>
              <w:right w:val="single" w:sz="4" w:space="0" w:color="000000"/>
            </w:tcBorders>
          </w:tcPr>
          <w:p w14:paraId="5ABD2BAF" w14:textId="77777777" w:rsidR="002C26E2" w:rsidRDefault="00812CB4">
            <w:pPr>
              <w:spacing w:after="0" w:line="259" w:lineRule="auto"/>
              <w:ind w:left="0" w:firstLine="0"/>
            </w:pPr>
            <w:r>
              <w:t xml:space="preserve">Senior Counsel </w:t>
            </w:r>
          </w:p>
        </w:tc>
        <w:tc>
          <w:tcPr>
            <w:tcW w:w="2255" w:type="dxa"/>
            <w:tcBorders>
              <w:top w:val="single" w:sz="4" w:space="0" w:color="000000"/>
              <w:left w:val="single" w:sz="4" w:space="0" w:color="000000"/>
              <w:bottom w:val="single" w:sz="4" w:space="0" w:color="000000"/>
              <w:right w:val="single" w:sz="4" w:space="0" w:color="000000"/>
            </w:tcBorders>
          </w:tcPr>
          <w:p w14:paraId="2641D0EA" w14:textId="77777777" w:rsidR="002C26E2" w:rsidRDefault="00812CB4">
            <w:pPr>
              <w:spacing w:after="0" w:line="259" w:lineRule="auto"/>
              <w:ind w:left="0" w:firstLine="0"/>
            </w:pPr>
            <w:r>
              <w:t xml:space="preserve">£63 </w:t>
            </w:r>
          </w:p>
        </w:tc>
        <w:tc>
          <w:tcPr>
            <w:tcW w:w="2253" w:type="dxa"/>
            <w:tcBorders>
              <w:top w:val="single" w:sz="4" w:space="0" w:color="000000"/>
              <w:left w:val="single" w:sz="4" w:space="0" w:color="000000"/>
              <w:bottom w:val="single" w:sz="4" w:space="0" w:color="000000"/>
              <w:right w:val="single" w:sz="4" w:space="0" w:color="000000"/>
            </w:tcBorders>
          </w:tcPr>
          <w:p w14:paraId="45F8608C" w14:textId="77777777" w:rsidR="002C26E2" w:rsidRDefault="00812CB4">
            <w:pPr>
              <w:spacing w:after="0" w:line="259" w:lineRule="auto"/>
              <w:ind w:left="1" w:firstLine="0"/>
            </w:pPr>
            <w:r>
              <w:t xml:space="preserve">£73 </w:t>
            </w:r>
          </w:p>
        </w:tc>
      </w:tr>
      <w:tr w:rsidR="002C26E2" w14:paraId="72E82F9B" w14:textId="77777777" w:rsidTr="00444ECE">
        <w:trPr>
          <w:trHeight w:val="583"/>
        </w:trPr>
        <w:tc>
          <w:tcPr>
            <w:tcW w:w="2689" w:type="dxa"/>
            <w:tcBorders>
              <w:top w:val="single" w:sz="4" w:space="0" w:color="000000"/>
              <w:left w:val="single" w:sz="4" w:space="0" w:color="000000"/>
              <w:bottom w:val="single" w:sz="4" w:space="0" w:color="000000"/>
              <w:right w:val="single" w:sz="4" w:space="0" w:color="000000"/>
            </w:tcBorders>
          </w:tcPr>
          <w:p w14:paraId="6AFB06A1" w14:textId="77777777" w:rsidR="002C26E2" w:rsidRDefault="00812CB4">
            <w:pPr>
              <w:spacing w:after="0" w:line="259" w:lineRule="auto"/>
              <w:ind w:left="0" w:firstLine="0"/>
            </w:pPr>
            <w:r>
              <w:t xml:space="preserve">Junior Counsel Sole </w:t>
            </w:r>
          </w:p>
        </w:tc>
        <w:tc>
          <w:tcPr>
            <w:tcW w:w="2255" w:type="dxa"/>
            <w:tcBorders>
              <w:top w:val="single" w:sz="4" w:space="0" w:color="000000"/>
              <w:left w:val="single" w:sz="4" w:space="0" w:color="000000"/>
              <w:bottom w:val="single" w:sz="4" w:space="0" w:color="000000"/>
              <w:right w:val="single" w:sz="4" w:space="0" w:color="000000"/>
            </w:tcBorders>
          </w:tcPr>
          <w:p w14:paraId="3B3A32AB" w14:textId="77777777" w:rsidR="002C26E2" w:rsidRDefault="00812CB4">
            <w:pPr>
              <w:spacing w:after="0" w:line="259" w:lineRule="auto"/>
              <w:ind w:left="0" w:firstLine="0"/>
            </w:pPr>
            <w:r>
              <w:t xml:space="preserve">£41 </w:t>
            </w:r>
          </w:p>
        </w:tc>
        <w:tc>
          <w:tcPr>
            <w:tcW w:w="2253" w:type="dxa"/>
            <w:tcBorders>
              <w:top w:val="single" w:sz="4" w:space="0" w:color="000000"/>
              <w:left w:val="single" w:sz="4" w:space="0" w:color="000000"/>
              <w:bottom w:val="single" w:sz="4" w:space="0" w:color="000000"/>
              <w:right w:val="single" w:sz="4" w:space="0" w:color="000000"/>
            </w:tcBorders>
          </w:tcPr>
          <w:p w14:paraId="42B69E6A" w14:textId="77777777" w:rsidR="002C26E2" w:rsidRDefault="00812CB4">
            <w:pPr>
              <w:spacing w:after="0" w:line="259" w:lineRule="auto"/>
              <w:ind w:left="1" w:firstLine="0"/>
            </w:pPr>
            <w:r>
              <w:t xml:space="preserve">£48 </w:t>
            </w:r>
          </w:p>
        </w:tc>
      </w:tr>
      <w:tr w:rsidR="002C26E2" w14:paraId="3AFBB00B" w14:textId="77777777" w:rsidTr="00444ECE">
        <w:trPr>
          <w:trHeight w:val="999"/>
        </w:trPr>
        <w:tc>
          <w:tcPr>
            <w:tcW w:w="2689" w:type="dxa"/>
            <w:tcBorders>
              <w:top w:val="single" w:sz="4" w:space="0" w:color="000000"/>
              <w:left w:val="single" w:sz="4" w:space="0" w:color="000000"/>
              <w:bottom w:val="single" w:sz="4" w:space="0" w:color="000000"/>
              <w:right w:val="single" w:sz="4" w:space="0" w:color="000000"/>
            </w:tcBorders>
          </w:tcPr>
          <w:p w14:paraId="50774B1D" w14:textId="77777777" w:rsidR="002C26E2" w:rsidRDefault="00812CB4">
            <w:pPr>
              <w:spacing w:after="115" w:line="259" w:lineRule="auto"/>
              <w:ind w:left="0" w:firstLine="0"/>
            </w:pPr>
            <w:r>
              <w:t xml:space="preserve">Junior Counsel </w:t>
            </w:r>
          </w:p>
          <w:p w14:paraId="0B89707B" w14:textId="77777777" w:rsidR="002C26E2" w:rsidRDefault="00812CB4">
            <w:pPr>
              <w:spacing w:after="0" w:line="259" w:lineRule="auto"/>
              <w:ind w:left="0" w:firstLine="0"/>
            </w:pPr>
            <w:r>
              <w:t xml:space="preserve">Leading </w:t>
            </w:r>
          </w:p>
        </w:tc>
        <w:tc>
          <w:tcPr>
            <w:tcW w:w="2255" w:type="dxa"/>
            <w:tcBorders>
              <w:top w:val="single" w:sz="4" w:space="0" w:color="000000"/>
              <w:left w:val="single" w:sz="4" w:space="0" w:color="000000"/>
              <w:bottom w:val="single" w:sz="4" w:space="0" w:color="000000"/>
              <w:right w:val="single" w:sz="4" w:space="0" w:color="000000"/>
            </w:tcBorders>
          </w:tcPr>
          <w:p w14:paraId="32ACC31A" w14:textId="77777777" w:rsidR="002C26E2" w:rsidRDefault="00812CB4">
            <w:pPr>
              <w:spacing w:after="0" w:line="259" w:lineRule="auto"/>
              <w:ind w:left="0" w:firstLine="0"/>
            </w:pPr>
            <w:r>
              <w:t xml:space="preserve">£47 </w:t>
            </w:r>
          </w:p>
        </w:tc>
        <w:tc>
          <w:tcPr>
            <w:tcW w:w="2253" w:type="dxa"/>
            <w:tcBorders>
              <w:top w:val="single" w:sz="4" w:space="0" w:color="000000"/>
              <w:left w:val="single" w:sz="4" w:space="0" w:color="000000"/>
              <w:bottom w:val="single" w:sz="4" w:space="0" w:color="000000"/>
              <w:right w:val="single" w:sz="4" w:space="0" w:color="000000"/>
            </w:tcBorders>
          </w:tcPr>
          <w:p w14:paraId="28C57A90" w14:textId="77777777" w:rsidR="002C26E2" w:rsidRDefault="00812CB4">
            <w:pPr>
              <w:spacing w:after="0" w:line="259" w:lineRule="auto"/>
              <w:ind w:left="1" w:firstLine="0"/>
            </w:pPr>
            <w:r>
              <w:t xml:space="preserve">£55 </w:t>
            </w:r>
          </w:p>
        </w:tc>
      </w:tr>
      <w:tr w:rsidR="002C26E2" w14:paraId="4176FF34" w14:textId="77777777" w:rsidTr="00444ECE">
        <w:trPr>
          <w:trHeight w:val="586"/>
        </w:trPr>
        <w:tc>
          <w:tcPr>
            <w:tcW w:w="2689" w:type="dxa"/>
            <w:tcBorders>
              <w:top w:val="single" w:sz="4" w:space="0" w:color="000000"/>
              <w:left w:val="single" w:sz="4" w:space="0" w:color="000000"/>
              <w:bottom w:val="single" w:sz="4" w:space="0" w:color="000000"/>
              <w:right w:val="single" w:sz="4" w:space="0" w:color="000000"/>
            </w:tcBorders>
          </w:tcPr>
          <w:p w14:paraId="649D65A5" w14:textId="77777777" w:rsidR="002C26E2" w:rsidRDefault="00812CB4">
            <w:pPr>
              <w:spacing w:after="0" w:line="259" w:lineRule="auto"/>
              <w:ind w:left="0" w:firstLine="0"/>
            </w:pPr>
            <w:r>
              <w:t xml:space="preserve">Junior Counsel Led </w:t>
            </w:r>
          </w:p>
        </w:tc>
        <w:tc>
          <w:tcPr>
            <w:tcW w:w="2255" w:type="dxa"/>
            <w:tcBorders>
              <w:top w:val="single" w:sz="4" w:space="0" w:color="000000"/>
              <w:left w:val="single" w:sz="4" w:space="0" w:color="000000"/>
              <w:bottom w:val="single" w:sz="4" w:space="0" w:color="000000"/>
              <w:right w:val="single" w:sz="4" w:space="0" w:color="000000"/>
            </w:tcBorders>
          </w:tcPr>
          <w:p w14:paraId="05514802" w14:textId="77777777" w:rsidR="002C26E2" w:rsidRDefault="00812CB4">
            <w:pPr>
              <w:spacing w:after="0" w:line="259" w:lineRule="auto"/>
              <w:ind w:left="0" w:firstLine="0"/>
            </w:pPr>
            <w:r>
              <w:t xml:space="preserve">£31 </w:t>
            </w:r>
          </w:p>
        </w:tc>
        <w:tc>
          <w:tcPr>
            <w:tcW w:w="2253" w:type="dxa"/>
            <w:tcBorders>
              <w:top w:val="single" w:sz="4" w:space="0" w:color="000000"/>
              <w:left w:val="single" w:sz="4" w:space="0" w:color="000000"/>
              <w:bottom w:val="single" w:sz="4" w:space="0" w:color="000000"/>
              <w:right w:val="single" w:sz="4" w:space="0" w:color="000000"/>
            </w:tcBorders>
          </w:tcPr>
          <w:p w14:paraId="1A4418C5" w14:textId="77777777" w:rsidR="002C26E2" w:rsidRDefault="00812CB4">
            <w:pPr>
              <w:spacing w:after="0" w:line="259" w:lineRule="auto"/>
              <w:ind w:left="1" w:firstLine="0"/>
            </w:pPr>
            <w:r>
              <w:t xml:space="preserve">£36 </w:t>
            </w:r>
          </w:p>
        </w:tc>
      </w:tr>
    </w:tbl>
    <w:p w14:paraId="0D294C3B" w14:textId="77777777" w:rsidR="002C26E2" w:rsidRDefault="00812CB4">
      <w:pPr>
        <w:spacing w:after="276" w:line="259" w:lineRule="auto"/>
        <w:ind w:left="12" w:firstLine="0"/>
      </w:pPr>
      <w:r>
        <w:t xml:space="preserve"> </w:t>
      </w:r>
    </w:p>
    <w:p w14:paraId="045E1ADA" w14:textId="77777777" w:rsidR="002C26E2" w:rsidRDefault="00812CB4">
      <w:pPr>
        <w:spacing w:after="239" w:line="361" w:lineRule="auto"/>
        <w:ind w:left="7" w:right="225"/>
      </w:pPr>
      <w:r>
        <w:t>In their submission, the CBA suggest that in relation to consultation fees, “Note that the hourly rate for travel [including travel to a consultation] is £60 per hour, i.e. junior counsel is paid more to travel to a consultation than the time spent at the consultation.”</w:t>
      </w:r>
      <w:r>
        <w:t xml:space="preserve"> </w:t>
      </w:r>
    </w:p>
    <w:p w14:paraId="2938BF24" w14:textId="77777777" w:rsidR="002C26E2" w:rsidRDefault="00812CB4">
      <w:pPr>
        <w:spacing w:after="0" w:line="361" w:lineRule="auto"/>
        <w:ind w:left="7" w:right="225"/>
      </w:pPr>
      <w:r>
        <w:t xml:space="preserve">The CBA go on to state that in Judge Burgess’s Report, “In relation to the Bar it is agreed that this will be informed by Government Legal Services Panel Rates, a scale recently reviewed, and which has an advantage of receiving the imprimatur of the </w:t>
      </w:r>
    </w:p>
    <w:p w14:paraId="0109866C" w14:textId="77777777" w:rsidR="002C26E2" w:rsidRDefault="00812CB4">
      <w:pPr>
        <w:spacing w:after="357" w:line="259" w:lineRule="auto"/>
        <w:ind w:left="7" w:right="225"/>
      </w:pPr>
      <w:r>
        <w:t>Department of Finance.”</w:t>
      </w:r>
      <w:r>
        <w:t xml:space="preserve"> </w:t>
      </w:r>
    </w:p>
    <w:p w14:paraId="65769581" w14:textId="77777777" w:rsidR="002C26E2" w:rsidRDefault="00812CB4">
      <w:pPr>
        <w:spacing w:after="459" w:line="361" w:lineRule="auto"/>
        <w:ind w:left="7" w:right="225"/>
      </w:pPr>
      <w:r>
        <w:t xml:space="preserve">This reference to Judge Burgess’s Fundamental Review relates to what was stated at the October 2025 meeting of the Working Party, not in the report of the Fundamental Review. The third report of the working group confirms, “agreement </w:t>
      </w:r>
      <w:r>
        <w:t>has been reached of landing areas establishing hourly rates both for</w:t>
      </w:r>
      <w:r>
        <w:rPr>
          <w:b/>
        </w:rPr>
        <w:t xml:space="preserve"> </w:t>
      </w:r>
      <w:r>
        <w:t>solicitors</w:t>
      </w:r>
      <w:r>
        <w:rPr>
          <w:b/>
        </w:rPr>
        <w:t xml:space="preserve"> </w:t>
      </w:r>
      <w:r>
        <w:t>and for members of the Bar-</w:t>
      </w:r>
      <w:r>
        <w:t xml:space="preserve">including at each level of experience”. The Department considers this </w:t>
      </w:r>
      <w:r>
        <w:t xml:space="preserve">does not confirm that the current GLSNI rates will be adopted but simply reflects this </w:t>
      </w:r>
      <w:proofErr w:type="gramStart"/>
      <w:r>
        <w:t>particular scale</w:t>
      </w:r>
      <w:proofErr w:type="gramEnd"/>
      <w:r>
        <w:t xml:space="preserve"> could inform the determination of rates, for example, landing areas.</w:t>
      </w:r>
      <w:r>
        <w:rPr>
          <w:b/>
          <w:sz w:val="18"/>
        </w:rPr>
        <w:t xml:space="preserve"> </w:t>
      </w:r>
    </w:p>
    <w:p w14:paraId="11525F84" w14:textId="77777777" w:rsidR="002C26E2" w:rsidRDefault="00812CB4">
      <w:pPr>
        <w:pStyle w:val="Heading2"/>
        <w:ind w:left="849" w:right="200" w:hanging="852"/>
      </w:pPr>
      <w:bookmarkStart w:id="72" w:name="_Toc107610"/>
      <w:r>
        <w:rPr>
          <w:color w:val="004E9A"/>
          <w:sz w:val="28"/>
        </w:rPr>
        <w:t>C</w:t>
      </w:r>
      <w:r>
        <w:rPr>
          <w:color w:val="004E9A"/>
        </w:rPr>
        <w:t>ONCLUSIONS ON CONSULTATION RATES</w:t>
      </w:r>
      <w:r>
        <w:rPr>
          <w:color w:val="004E9A"/>
          <w:sz w:val="28"/>
        </w:rPr>
        <w:t xml:space="preserve"> </w:t>
      </w:r>
      <w:bookmarkEnd w:id="72"/>
    </w:p>
    <w:p w14:paraId="20270E3E" w14:textId="77777777" w:rsidR="002C26E2" w:rsidRDefault="00812CB4">
      <w:pPr>
        <w:spacing w:line="259" w:lineRule="auto"/>
        <w:ind w:left="7" w:right="225"/>
      </w:pPr>
      <w:r>
        <w:t xml:space="preserve">Having regard to the evidence presented, the Review Team concludes that: </w:t>
      </w:r>
    </w:p>
    <w:p w14:paraId="155A1859" w14:textId="77777777" w:rsidR="002C26E2" w:rsidRDefault="00812CB4">
      <w:pPr>
        <w:numPr>
          <w:ilvl w:val="0"/>
          <w:numId w:val="57"/>
        </w:numPr>
        <w:spacing w:after="114"/>
        <w:ind w:right="225" w:hanging="355"/>
      </w:pPr>
      <w:r>
        <w:t xml:space="preserve">No </w:t>
      </w:r>
      <w:r>
        <w:rPr>
          <w:b/>
        </w:rPr>
        <w:t>robust or validated evidence</w:t>
      </w:r>
      <w:r>
        <w:t xml:space="preserve"> has been provided to justify the magnitude of the increases requested by the CBA. </w:t>
      </w:r>
    </w:p>
    <w:p w14:paraId="3C64CE2C" w14:textId="77777777" w:rsidR="002C26E2" w:rsidRDefault="00812CB4">
      <w:pPr>
        <w:numPr>
          <w:ilvl w:val="0"/>
          <w:numId w:val="57"/>
        </w:numPr>
        <w:spacing w:after="112"/>
        <w:ind w:right="225" w:hanging="355"/>
      </w:pPr>
      <w:r>
        <w:t xml:space="preserve">The </w:t>
      </w:r>
      <w:r>
        <w:rPr>
          <w:b/>
        </w:rPr>
        <w:t>proposed</w:t>
      </w:r>
      <w:r>
        <w:t xml:space="preserve"> rates are internally inconsistent with other aspects of the Submissions and with the approach taken by the Review Team to comparator-based hourly rates. </w:t>
      </w:r>
    </w:p>
    <w:p w14:paraId="02463E89" w14:textId="77777777" w:rsidR="002C26E2" w:rsidRDefault="00812CB4">
      <w:pPr>
        <w:numPr>
          <w:ilvl w:val="0"/>
          <w:numId w:val="57"/>
        </w:numPr>
        <w:spacing w:after="453"/>
        <w:ind w:right="225" w:hanging="355"/>
      </w:pPr>
      <w:r>
        <w:t xml:space="preserve">The existing structure of consultation fees, as hourly-rated work, remains appropriate, but the rates should be adjusted in a manner </w:t>
      </w:r>
      <w:r>
        <w:rPr>
          <w:b/>
        </w:rPr>
        <w:t>consistent with the approach taken elsewhere in this Accelerated Review</w:t>
      </w:r>
      <w:r>
        <w:t xml:space="preserve">. </w:t>
      </w:r>
    </w:p>
    <w:p w14:paraId="5BD9CB5C" w14:textId="77777777" w:rsidR="002C26E2" w:rsidRDefault="00812CB4">
      <w:pPr>
        <w:pStyle w:val="Heading2"/>
        <w:ind w:left="849" w:right="200" w:hanging="852"/>
      </w:pPr>
      <w:bookmarkStart w:id="73" w:name="_Toc107611"/>
      <w:r>
        <w:rPr>
          <w:color w:val="004E9A"/>
          <w:sz w:val="28"/>
        </w:rPr>
        <w:t>R</w:t>
      </w:r>
      <w:r>
        <w:rPr>
          <w:color w:val="004E9A"/>
        </w:rPr>
        <w:t>ECOMMENDED APPROACH TO CONSULTATIONS</w:t>
      </w:r>
      <w:r>
        <w:rPr>
          <w:color w:val="004E9A"/>
          <w:sz w:val="28"/>
        </w:rPr>
        <w:t xml:space="preserve"> </w:t>
      </w:r>
      <w:bookmarkEnd w:id="73"/>
    </w:p>
    <w:p w14:paraId="4D5B6E1A" w14:textId="77777777" w:rsidR="002C26E2" w:rsidRDefault="00812CB4">
      <w:pPr>
        <w:spacing w:after="349" w:line="265" w:lineRule="auto"/>
        <w:ind w:left="7"/>
      </w:pPr>
      <w:r>
        <w:rPr>
          <w:u w:val="single" w:color="000000"/>
        </w:rPr>
        <w:t>Barristers</w:t>
      </w:r>
      <w:r>
        <w:t xml:space="preserve"> </w:t>
      </w:r>
    </w:p>
    <w:p w14:paraId="479BB895" w14:textId="77777777" w:rsidR="002C26E2" w:rsidRDefault="00812CB4">
      <w:pPr>
        <w:spacing w:after="84" w:line="259" w:lineRule="auto"/>
        <w:ind w:left="7" w:right="225"/>
      </w:pPr>
      <w:r>
        <w:t>Consistent with the approach adopted for standard fees and other hourly-</w:t>
      </w:r>
      <w:r>
        <w:t xml:space="preserve">rated work, the Review Team recommends that consultation fees for barristers be increased by the same </w:t>
      </w:r>
      <w:r>
        <w:rPr>
          <w:b/>
        </w:rPr>
        <w:t>26.05% uplift</w:t>
      </w:r>
      <w:r>
        <w:t xml:space="preserve"> identified elsewhere in this report, with figures rounded up to the nearest pound. </w:t>
      </w:r>
    </w:p>
    <w:tbl>
      <w:tblPr>
        <w:tblStyle w:val="TableGrid"/>
        <w:tblW w:w="8652" w:type="dxa"/>
        <w:tblInd w:w="18" w:type="dxa"/>
        <w:tblCellMar>
          <w:top w:w="54" w:type="dxa"/>
          <w:left w:w="107" w:type="dxa"/>
          <w:bottom w:w="0" w:type="dxa"/>
          <w:right w:w="88" w:type="dxa"/>
        </w:tblCellMar>
        <w:tblLook w:val="04A0" w:firstRow="1" w:lastRow="0" w:firstColumn="1" w:lastColumn="0" w:noHBand="0" w:noVBand="1"/>
      </w:tblPr>
      <w:tblGrid>
        <w:gridCol w:w="2830"/>
        <w:gridCol w:w="1853"/>
        <w:gridCol w:w="1985"/>
        <w:gridCol w:w="1984"/>
      </w:tblGrid>
      <w:tr w:rsidR="002C26E2" w14:paraId="02D94C04" w14:textId="77777777">
        <w:trPr>
          <w:trHeight w:val="996"/>
        </w:trPr>
        <w:tc>
          <w:tcPr>
            <w:tcW w:w="2829" w:type="dxa"/>
            <w:tcBorders>
              <w:top w:val="single" w:sz="4" w:space="0" w:color="000000"/>
              <w:left w:val="single" w:sz="4" w:space="0" w:color="000000"/>
              <w:bottom w:val="single" w:sz="4" w:space="0" w:color="000000"/>
              <w:right w:val="single" w:sz="4" w:space="0" w:color="000000"/>
            </w:tcBorders>
            <w:shd w:val="clear" w:color="auto" w:fill="424996"/>
          </w:tcPr>
          <w:p w14:paraId="3C04FD80" w14:textId="77777777" w:rsidR="002C26E2" w:rsidRDefault="00812CB4">
            <w:pPr>
              <w:spacing w:after="0" w:line="259" w:lineRule="auto"/>
              <w:ind w:left="0" w:firstLine="0"/>
            </w:pPr>
            <w:r>
              <w:rPr>
                <w:color w:val="FFFFFF"/>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424996"/>
          </w:tcPr>
          <w:p w14:paraId="267DFB62" w14:textId="77777777" w:rsidR="002C26E2" w:rsidRDefault="00812CB4">
            <w:pPr>
              <w:spacing w:after="0" w:line="259" w:lineRule="auto"/>
              <w:ind w:left="1" w:firstLine="0"/>
            </w:pPr>
            <w:r>
              <w:rPr>
                <w:color w:val="FFFFFF"/>
              </w:rPr>
              <w:t xml:space="preserve">2015 Rates </w:t>
            </w:r>
          </w:p>
        </w:tc>
        <w:tc>
          <w:tcPr>
            <w:tcW w:w="1985" w:type="dxa"/>
            <w:tcBorders>
              <w:top w:val="single" w:sz="4" w:space="0" w:color="000000"/>
              <w:left w:val="single" w:sz="4" w:space="0" w:color="000000"/>
              <w:bottom w:val="single" w:sz="4" w:space="0" w:color="000000"/>
              <w:right w:val="single" w:sz="4" w:space="0" w:color="000000"/>
            </w:tcBorders>
            <w:shd w:val="clear" w:color="auto" w:fill="424996"/>
          </w:tcPr>
          <w:p w14:paraId="4A2196F3" w14:textId="77777777" w:rsidR="002C26E2" w:rsidRDefault="00812CB4">
            <w:pPr>
              <w:spacing w:after="117" w:line="259" w:lineRule="auto"/>
              <w:ind w:left="1" w:firstLine="0"/>
              <w:jc w:val="both"/>
            </w:pPr>
            <w:r>
              <w:rPr>
                <w:color w:val="FFFFFF"/>
              </w:rPr>
              <w:t xml:space="preserve">2026 Rates with </w:t>
            </w:r>
          </w:p>
          <w:p w14:paraId="05A8B289" w14:textId="77777777" w:rsidR="002C26E2" w:rsidRDefault="00812CB4">
            <w:pPr>
              <w:spacing w:after="0" w:line="259" w:lineRule="auto"/>
              <w:ind w:left="1" w:firstLine="0"/>
            </w:pPr>
            <w:r>
              <w:rPr>
                <w:color w:val="FFFFFF"/>
              </w:rPr>
              <w:t xml:space="preserve">16% uplift </w:t>
            </w:r>
          </w:p>
        </w:tc>
        <w:tc>
          <w:tcPr>
            <w:tcW w:w="1984" w:type="dxa"/>
            <w:tcBorders>
              <w:top w:val="single" w:sz="4" w:space="0" w:color="000000"/>
              <w:left w:val="single" w:sz="4" w:space="0" w:color="000000"/>
              <w:bottom w:val="single" w:sz="4" w:space="0" w:color="000000"/>
              <w:right w:val="single" w:sz="4" w:space="0" w:color="000000"/>
            </w:tcBorders>
            <w:shd w:val="clear" w:color="auto" w:fill="424996"/>
          </w:tcPr>
          <w:p w14:paraId="33D5E579" w14:textId="77777777" w:rsidR="002C26E2" w:rsidRDefault="00812CB4">
            <w:pPr>
              <w:spacing w:after="117" w:line="259" w:lineRule="auto"/>
              <w:ind w:left="1" w:firstLine="0"/>
              <w:jc w:val="both"/>
            </w:pPr>
            <w:r>
              <w:rPr>
                <w:color w:val="FFFFFF"/>
              </w:rPr>
              <w:t xml:space="preserve">2026 Rates with </w:t>
            </w:r>
          </w:p>
          <w:p w14:paraId="2FD1132C" w14:textId="77777777" w:rsidR="002C26E2" w:rsidRDefault="00812CB4">
            <w:pPr>
              <w:spacing w:after="0" w:line="259" w:lineRule="auto"/>
              <w:ind w:left="1" w:firstLine="0"/>
            </w:pPr>
            <w:r>
              <w:rPr>
                <w:color w:val="FFFFFF"/>
              </w:rPr>
              <w:t xml:space="preserve">26.05% uplift </w:t>
            </w:r>
          </w:p>
        </w:tc>
      </w:tr>
      <w:tr w:rsidR="002C26E2" w14:paraId="725A6FC6" w14:textId="77777777">
        <w:trPr>
          <w:trHeight w:val="584"/>
        </w:trPr>
        <w:tc>
          <w:tcPr>
            <w:tcW w:w="2829" w:type="dxa"/>
            <w:tcBorders>
              <w:top w:val="single" w:sz="4" w:space="0" w:color="000000"/>
              <w:left w:val="single" w:sz="4" w:space="0" w:color="000000"/>
              <w:bottom w:val="single" w:sz="4" w:space="0" w:color="000000"/>
              <w:right w:val="single" w:sz="4" w:space="0" w:color="000000"/>
            </w:tcBorders>
          </w:tcPr>
          <w:p w14:paraId="6545DE70" w14:textId="77777777" w:rsidR="002C26E2" w:rsidRDefault="00812CB4">
            <w:pPr>
              <w:spacing w:after="0" w:line="259" w:lineRule="auto"/>
              <w:ind w:left="0" w:firstLine="0"/>
            </w:pPr>
            <w:r>
              <w:t xml:space="preserve">Senior Counsel </w:t>
            </w:r>
          </w:p>
        </w:tc>
        <w:tc>
          <w:tcPr>
            <w:tcW w:w="1853" w:type="dxa"/>
            <w:tcBorders>
              <w:top w:val="single" w:sz="4" w:space="0" w:color="000000"/>
              <w:left w:val="single" w:sz="4" w:space="0" w:color="000000"/>
              <w:bottom w:val="single" w:sz="4" w:space="0" w:color="000000"/>
              <w:right w:val="single" w:sz="4" w:space="0" w:color="000000"/>
            </w:tcBorders>
          </w:tcPr>
          <w:p w14:paraId="4473563E" w14:textId="77777777" w:rsidR="002C26E2" w:rsidRDefault="00812CB4">
            <w:pPr>
              <w:spacing w:after="0" w:line="259" w:lineRule="auto"/>
              <w:ind w:left="1" w:firstLine="0"/>
            </w:pPr>
            <w:r>
              <w:t xml:space="preserve">£63 </w:t>
            </w:r>
          </w:p>
        </w:tc>
        <w:tc>
          <w:tcPr>
            <w:tcW w:w="1985" w:type="dxa"/>
            <w:tcBorders>
              <w:top w:val="single" w:sz="4" w:space="0" w:color="000000"/>
              <w:left w:val="single" w:sz="4" w:space="0" w:color="000000"/>
              <w:bottom w:val="single" w:sz="4" w:space="0" w:color="000000"/>
              <w:right w:val="single" w:sz="4" w:space="0" w:color="000000"/>
            </w:tcBorders>
          </w:tcPr>
          <w:p w14:paraId="17C0540E" w14:textId="77777777" w:rsidR="002C26E2" w:rsidRDefault="00812CB4">
            <w:pPr>
              <w:spacing w:after="0" w:line="259" w:lineRule="auto"/>
              <w:ind w:left="1" w:firstLine="0"/>
            </w:pPr>
            <w:r>
              <w:t xml:space="preserve">£73 </w:t>
            </w:r>
          </w:p>
        </w:tc>
        <w:tc>
          <w:tcPr>
            <w:tcW w:w="1984" w:type="dxa"/>
            <w:tcBorders>
              <w:top w:val="single" w:sz="4" w:space="0" w:color="000000"/>
              <w:left w:val="single" w:sz="4" w:space="0" w:color="000000"/>
              <w:bottom w:val="single" w:sz="4" w:space="0" w:color="000000"/>
              <w:right w:val="single" w:sz="4" w:space="0" w:color="000000"/>
            </w:tcBorders>
          </w:tcPr>
          <w:p w14:paraId="48655428" w14:textId="77777777" w:rsidR="002C26E2" w:rsidRDefault="00812CB4">
            <w:pPr>
              <w:spacing w:after="0" w:line="259" w:lineRule="auto"/>
              <w:ind w:left="1" w:firstLine="0"/>
            </w:pPr>
            <w:r>
              <w:t xml:space="preserve">£80 </w:t>
            </w:r>
          </w:p>
        </w:tc>
      </w:tr>
      <w:tr w:rsidR="002C26E2" w14:paraId="412D3DED" w14:textId="77777777">
        <w:trPr>
          <w:trHeight w:val="586"/>
        </w:trPr>
        <w:tc>
          <w:tcPr>
            <w:tcW w:w="2829" w:type="dxa"/>
            <w:tcBorders>
              <w:top w:val="single" w:sz="4" w:space="0" w:color="000000"/>
              <w:left w:val="single" w:sz="4" w:space="0" w:color="000000"/>
              <w:bottom w:val="single" w:sz="4" w:space="0" w:color="000000"/>
              <w:right w:val="single" w:sz="4" w:space="0" w:color="000000"/>
            </w:tcBorders>
          </w:tcPr>
          <w:p w14:paraId="127EF8B1" w14:textId="77777777" w:rsidR="002C26E2" w:rsidRDefault="00812CB4">
            <w:pPr>
              <w:spacing w:after="0" w:line="259" w:lineRule="auto"/>
              <w:ind w:left="0" w:firstLine="0"/>
            </w:pPr>
            <w:r>
              <w:t xml:space="preserve">Junior Counsel Sole </w:t>
            </w:r>
          </w:p>
        </w:tc>
        <w:tc>
          <w:tcPr>
            <w:tcW w:w="1853" w:type="dxa"/>
            <w:tcBorders>
              <w:top w:val="single" w:sz="4" w:space="0" w:color="000000"/>
              <w:left w:val="single" w:sz="4" w:space="0" w:color="000000"/>
              <w:bottom w:val="single" w:sz="4" w:space="0" w:color="000000"/>
              <w:right w:val="single" w:sz="4" w:space="0" w:color="000000"/>
            </w:tcBorders>
          </w:tcPr>
          <w:p w14:paraId="2C175839" w14:textId="77777777" w:rsidR="002C26E2" w:rsidRDefault="00812CB4">
            <w:pPr>
              <w:spacing w:after="0" w:line="259" w:lineRule="auto"/>
              <w:ind w:left="1" w:firstLine="0"/>
            </w:pPr>
            <w:r>
              <w:t xml:space="preserve">£41 </w:t>
            </w:r>
          </w:p>
        </w:tc>
        <w:tc>
          <w:tcPr>
            <w:tcW w:w="1985" w:type="dxa"/>
            <w:tcBorders>
              <w:top w:val="single" w:sz="4" w:space="0" w:color="000000"/>
              <w:left w:val="single" w:sz="4" w:space="0" w:color="000000"/>
              <w:bottom w:val="single" w:sz="4" w:space="0" w:color="000000"/>
              <w:right w:val="single" w:sz="4" w:space="0" w:color="000000"/>
            </w:tcBorders>
          </w:tcPr>
          <w:p w14:paraId="16A045D8" w14:textId="77777777" w:rsidR="002C26E2" w:rsidRDefault="00812CB4">
            <w:pPr>
              <w:spacing w:after="0" w:line="259" w:lineRule="auto"/>
              <w:ind w:left="1" w:firstLine="0"/>
            </w:pPr>
            <w:r>
              <w:t xml:space="preserve">£48 </w:t>
            </w:r>
          </w:p>
        </w:tc>
        <w:tc>
          <w:tcPr>
            <w:tcW w:w="1984" w:type="dxa"/>
            <w:tcBorders>
              <w:top w:val="single" w:sz="4" w:space="0" w:color="000000"/>
              <w:left w:val="single" w:sz="4" w:space="0" w:color="000000"/>
              <w:bottom w:val="single" w:sz="4" w:space="0" w:color="000000"/>
              <w:right w:val="single" w:sz="4" w:space="0" w:color="000000"/>
            </w:tcBorders>
          </w:tcPr>
          <w:p w14:paraId="1DA43FB8" w14:textId="77777777" w:rsidR="002C26E2" w:rsidRDefault="00812CB4">
            <w:pPr>
              <w:spacing w:after="0" w:line="259" w:lineRule="auto"/>
              <w:ind w:left="1" w:firstLine="0"/>
            </w:pPr>
            <w:r>
              <w:t xml:space="preserve">£52 </w:t>
            </w:r>
          </w:p>
        </w:tc>
      </w:tr>
      <w:tr w:rsidR="002C26E2" w14:paraId="0C194D32" w14:textId="77777777">
        <w:trPr>
          <w:trHeight w:val="584"/>
        </w:trPr>
        <w:tc>
          <w:tcPr>
            <w:tcW w:w="2829" w:type="dxa"/>
            <w:tcBorders>
              <w:top w:val="single" w:sz="4" w:space="0" w:color="000000"/>
              <w:left w:val="single" w:sz="4" w:space="0" w:color="000000"/>
              <w:bottom w:val="single" w:sz="4" w:space="0" w:color="000000"/>
              <w:right w:val="single" w:sz="4" w:space="0" w:color="000000"/>
            </w:tcBorders>
          </w:tcPr>
          <w:p w14:paraId="7FAD7CE5" w14:textId="77777777" w:rsidR="002C26E2" w:rsidRDefault="00812CB4">
            <w:pPr>
              <w:spacing w:after="0" w:line="259" w:lineRule="auto"/>
              <w:ind w:left="0" w:firstLine="0"/>
            </w:pPr>
            <w:r>
              <w:t xml:space="preserve">Junior Counsel Leading </w:t>
            </w:r>
          </w:p>
        </w:tc>
        <w:tc>
          <w:tcPr>
            <w:tcW w:w="1853" w:type="dxa"/>
            <w:tcBorders>
              <w:top w:val="single" w:sz="4" w:space="0" w:color="000000"/>
              <w:left w:val="single" w:sz="4" w:space="0" w:color="000000"/>
              <w:bottom w:val="single" w:sz="4" w:space="0" w:color="000000"/>
              <w:right w:val="single" w:sz="4" w:space="0" w:color="000000"/>
            </w:tcBorders>
          </w:tcPr>
          <w:p w14:paraId="3D9D4831" w14:textId="77777777" w:rsidR="002C26E2" w:rsidRDefault="00812CB4">
            <w:pPr>
              <w:spacing w:after="0" w:line="259" w:lineRule="auto"/>
              <w:ind w:left="1" w:firstLine="0"/>
            </w:pPr>
            <w:r>
              <w:t xml:space="preserve">£47 </w:t>
            </w:r>
          </w:p>
        </w:tc>
        <w:tc>
          <w:tcPr>
            <w:tcW w:w="1985" w:type="dxa"/>
            <w:tcBorders>
              <w:top w:val="single" w:sz="4" w:space="0" w:color="000000"/>
              <w:left w:val="single" w:sz="4" w:space="0" w:color="000000"/>
              <w:bottom w:val="single" w:sz="4" w:space="0" w:color="000000"/>
              <w:right w:val="single" w:sz="4" w:space="0" w:color="000000"/>
            </w:tcBorders>
          </w:tcPr>
          <w:p w14:paraId="55E741F6" w14:textId="77777777" w:rsidR="002C26E2" w:rsidRDefault="00812CB4">
            <w:pPr>
              <w:spacing w:after="0" w:line="259" w:lineRule="auto"/>
              <w:ind w:left="1" w:firstLine="0"/>
            </w:pPr>
            <w:r>
              <w:t xml:space="preserve">£55 </w:t>
            </w:r>
          </w:p>
        </w:tc>
        <w:tc>
          <w:tcPr>
            <w:tcW w:w="1984" w:type="dxa"/>
            <w:tcBorders>
              <w:top w:val="single" w:sz="4" w:space="0" w:color="000000"/>
              <w:left w:val="single" w:sz="4" w:space="0" w:color="000000"/>
              <w:bottom w:val="single" w:sz="4" w:space="0" w:color="000000"/>
              <w:right w:val="single" w:sz="4" w:space="0" w:color="000000"/>
            </w:tcBorders>
          </w:tcPr>
          <w:p w14:paraId="23DA631E" w14:textId="77777777" w:rsidR="002C26E2" w:rsidRDefault="00812CB4">
            <w:pPr>
              <w:spacing w:after="0" w:line="259" w:lineRule="auto"/>
              <w:ind w:left="1" w:firstLine="0"/>
            </w:pPr>
            <w:r>
              <w:t xml:space="preserve">£60 </w:t>
            </w:r>
          </w:p>
        </w:tc>
      </w:tr>
      <w:tr w:rsidR="002C26E2" w14:paraId="393AB03C" w14:textId="77777777">
        <w:trPr>
          <w:trHeight w:val="583"/>
        </w:trPr>
        <w:tc>
          <w:tcPr>
            <w:tcW w:w="2829" w:type="dxa"/>
            <w:tcBorders>
              <w:top w:val="single" w:sz="4" w:space="0" w:color="000000"/>
              <w:left w:val="single" w:sz="4" w:space="0" w:color="000000"/>
              <w:bottom w:val="single" w:sz="4" w:space="0" w:color="000000"/>
              <w:right w:val="single" w:sz="4" w:space="0" w:color="000000"/>
            </w:tcBorders>
          </w:tcPr>
          <w:p w14:paraId="41B31BBB" w14:textId="77777777" w:rsidR="002C26E2" w:rsidRDefault="00812CB4">
            <w:pPr>
              <w:spacing w:after="0" w:line="259" w:lineRule="auto"/>
              <w:ind w:left="0" w:firstLine="0"/>
            </w:pPr>
            <w:r>
              <w:t xml:space="preserve">Junior Counsel Led </w:t>
            </w:r>
          </w:p>
        </w:tc>
        <w:tc>
          <w:tcPr>
            <w:tcW w:w="1853" w:type="dxa"/>
            <w:tcBorders>
              <w:top w:val="single" w:sz="4" w:space="0" w:color="000000"/>
              <w:left w:val="single" w:sz="4" w:space="0" w:color="000000"/>
              <w:bottom w:val="single" w:sz="4" w:space="0" w:color="000000"/>
              <w:right w:val="single" w:sz="4" w:space="0" w:color="000000"/>
            </w:tcBorders>
          </w:tcPr>
          <w:p w14:paraId="0F3BA0FD" w14:textId="77777777" w:rsidR="002C26E2" w:rsidRDefault="00812CB4">
            <w:pPr>
              <w:spacing w:after="0" w:line="259" w:lineRule="auto"/>
              <w:ind w:left="1" w:firstLine="0"/>
            </w:pPr>
            <w:r>
              <w:t xml:space="preserve">£31 </w:t>
            </w:r>
          </w:p>
        </w:tc>
        <w:tc>
          <w:tcPr>
            <w:tcW w:w="1985" w:type="dxa"/>
            <w:tcBorders>
              <w:top w:val="single" w:sz="4" w:space="0" w:color="000000"/>
              <w:left w:val="single" w:sz="4" w:space="0" w:color="000000"/>
              <w:bottom w:val="single" w:sz="4" w:space="0" w:color="000000"/>
              <w:right w:val="single" w:sz="4" w:space="0" w:color="000000"/>
            </w:tcBorders>
          </w:tcPr>
          <w:p w14:paraId="7D9BCB65" w14:textId="77777777" w:rsidR="002C26E2" w:rsidRDefault="00812CB4">
            <w:pPr>
              <w:spacing w:after="0" w:line="259" w:lineRule="auto"/>
              <w:ind w:left="1" w:firstLine="0"/>
            </w:pPr>
            <w:r>
              <w:t xml:space="preserve">£36 </w:t>
            </w:r>
          </w:p>
        </w:tc>
        <w:tc>
          <w:tcPr>
            <w:tcW w:w="1984" w:type="dxa"/>
            <w:tcBorders>
              <w:top w:val="single" w:sz="4" w:space="0" w:color="000000"/>
              <w:left w:val="single" w:sz="4" w:space="0" w:color="000000"/>
              <w:bottom w:val="single" w:sz="4" w:space="0" w:color="000000"/>
              <w:right w:val="single" w:sz="4" w:space="0" w:color="000000"/>
            </w:tcBorders>
          </w:tcPr>
          <w:p w14:paraId="5CD6D874" w14:textId="77777777" w:rsidR="002C26E2" w:rsidRDefault="00812CB4">
            <w:pPr>
              <w:spacing w:after="0" w:line="259" w:lineRule="auto"/>
              <w:ind w:left="1" w:firstLine="0"/>
            </w:pPr>
            <w:r>
              <w:t xml:space="preserve">£40 </w:t>
            </w:r>
          </w:p>
        </w:tc>
      </w:tr>
    </w:tbl>
    <w:p w14:paraId="1B87BC53" w14:textId="77777777" w:rsidR="002C26E2" w:rsidRDefault="00812CB4">
      <w:pPr>
        <w:spacing w:after="349" w:line="265" w:lineRule="auto"/>
        <w:ind w:left="7"/>
      </w:pPr>
      <w:r>
        <w:rPr>
          <w:u w:val="single" w:color="000000"/>
        </w:rPr>
        <w:t xml:space="preserve">Solicitors </w:t>
      </w:r>
      <w:r>
        <w:rPr>
          <w:u w:val="single" w:color="000000"/>
        </w:rPr>
        <w:t>–</w:t>
      </w:r>
      <w:r>
        <w:rPr>
          <w:u w:val="single" w:color="000000"/>
        </w:rPr>
        <w:t xml:space="preserve"> </w:t>
      </w:r>
      <w:r>
        <w:rPr>
          <w:u w:val="single" w:color="000000"/>
        </w:rPr>
        <w:t>introduction of a discrete Crown Court consultation fee</w:t>
      </w:r>
      <w:r>
        <w:t xml:space="preserve"> </w:t>
      </w:r>
    </w:p>
    <w:p w14:paraId="41507D6A" w14:textId="77777777" w:rsidR="002C26E2" w:rsidRDefault="00812CB4">
      <w:pPr>
        <w:spacing w:after="114"/>
        <w:ind w:left="7" w:right="225"/>
      </w:pPr>
      <w:r>
        <w:t xml:space="preserve">The Review Team considers it inequitable that solicitors currently receive </w:t>
      </w:r>
      <w:r>
        <w:rPr>
          <w:b/>
        </w:rPr>
        <w:t>no specific Crown Court consultation fee</w:t>
      </w:r>
      <w:r>
        <w:t xml:space="preserve">, particularly where attendance at consultations with counsel is mandatory. Accordingly, a new discrete Crown Court consultation fee for solicitors is recommended, set at </w:t>
      </w:r>
      <w:r>
        <w:rPr>
          <w:b/>
        </w:rPr>
        <w:t>£60 per hour</w:t>
      </w:r>
      <w:r>
        <w:t xml:space="preserve">, being: </w:t>
      </w:r>
    </w:p>
    <w:p w14:paraId="47E82D5D" w14:textId="77777777" w:rsidR="002C26E2" w:rsidRDefault="00812CB4">
      <w:pPr>
        <w:numPr>
          <w:ilvl w:val="0"/>
          <w:numId w:val="58"/>
        </w:numPr>
        <w:spacing w:after="116" w:line="259" w:lineRule="auto"/>
        <w:ind w:right="270" w:hanging="355"/>
      </w:pPr>
      <w:r>
        <w:t xml:space="preserve">a blended rate broadly aligned with the average of counsel consultation rates;  </w:t>
      </w:r>
    </w:p>
    <w:p w14:paraId="31212B2B" w14:textId="77777777" w:rsidR="002C26E2" w:rsidRDefault="00812CB4">
      <w:pPr>
        <w:numPr>
          <w:ilvl w:val="0"/>
          <w:numId w:val="58"/>
        </w:numPr>
        <w:spacing w:after="239" w:line="361" w:lineRule="auto"/>
        <w:ind w:right="270" w:hanging="355"/>
      </w:pPr>
      <w:r>
        <w:t xml:space="preserve">a rate that recognises the Department’s position that such consultations do </w:t>
      </w:r>
      <w:r>
        <w:t xml:space="preserve">not normally require senior-level solicitor input. </w:t>
      </w:r>
    </w:p>
    <w:p w14:paraId="6081D70D" w14:textId="77777777" w:rsidR="002C26E2" w:rsidRDefault="00812CB4">
      <w:pPr>
        <w:spacing w:after="0" w:line="259" w:lineRule="auto"/>
        <w:ind w:left="7" w:right="225"/>
      </w:pPr>
      <w:r>
        <w:t xml:space="preserve">This fee should replace reliance on EP for routine consultation work by solicitors. </w:t>
      </w:r>
    </w:p>
    <w:tbl>
      <w:tblPr>
        <w:tblStyle w:val="TableGrid"/>
        <w:tblW w:w="8652" w:type="dxa"/>
        <w:tblInd w:w="18" w:type="dxa"/>
        <w:tblCellMar>
          <w:top w:w="54" w:type="dxa"/>
          <w:left w:w="107" w:type="dxa"/>
          <w:bottom w:w="0" w:type="dxa"/>
          <w:right w:w="88" w:type="dxa"/>
        </w:tblCellMar>
        <w:tblLook w:val="04A0" w:firstRow="1" w:lastRow="0" w:firstColumn="1" w:lastColumn="0" w:noHBand="0" w:noVBand="1"/>
      </w:tblPr>
      <w:tblGrid>
        <w:gridCol w:w="2830"/>
        <w:gridCol w:w="1853"/>
        <w:gridCol w:w="1985"/>
        <w:gridCol w:w="1984"/>
      </w:tblGrid>
      <w:tr w:rsidR="002C26E2" w14:paraId="19588EBE" w14:textId="77777777">
        <w:trPr>
          <w:trHeight w:val="996"/>
        </w:trPr>
        <w:tc>
          <w:tcPr>
            <w:tcW w:w="2829" w:type="dxa"/>
            <w:tcBorders>
              <w:top w:val="single" w:sz="4" w:space="0" w:color="000000"/>
              <w:left w:val="single" w:sz="4" w:space="0" w:color="000000"/>
              <w:bottom w:val="single" w:sz="4" w:space="0" w:color="000000"/>
              <w:right w:val="single" w:sz="4" w:space="0" w:color="000000"/>
            </w:tcBorders>
            <w:shd w:val="clear" w:color="auto" w:fill="424996"/>
          </w:tcPr>
          <w:p w14:paraId="70240408" w14:textId="77777777" w:rsidR="002C26E2" w:rsidRDefault="00812CB4">
            <w:pPr>
              <w:spacing w:after="0" w:line="259" w:lineRule="auto"/>
              <w:ind w:left="0" w:firstLine="0"/>
            </w:pPr>
            <w:r>
              <w:rPr>
                <w:color w:val="FFFFFF"/>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424996"/>
          </w:tcPr>
          <w:p w14:paraId="30BB9FD7" w14:textId="77777777" w:rsidR="002C26E2" w:rsidRDefault="00812CB4">
            <w:pPr>
              <w:spacing w:after="0" w:line="259" w:lineRule="auto"/>
              <w:ind w:left="1" w:firstLine="0"/>
            </w:pPr>
            <w:r>
              <w:rPr>
                <w:color w:val="FFFFFF"/>
              </w:rPr>
              <w:t xml:space="preserve">2015 Rates </w:t>
            </w:r>
          </w:p>
        </w:tc>
        <w:tc>
          <w:tcPr>
            <w:tcW w:w="1985" w:type="dxa"/>
            <w:tcBorders>
              <w:top w:val="single" w:sz="4" w:space="0" w:color="000000"/>
              <w:left w:val="single" w:sz="4" w:space="0" w:color="000000"/>
              <w:bottom w:val="single" w:sz="4" w:space="0" w:color="000000"/>
              <w:right w:val="single" w:sz="4" w:space="0" w:color="000000"/>
            </w:tcBorders>
            <w:shd w:val="clear" w:color="auto" w:fill="424996"/>
          </w:tcPr>
          <w:p w14:paraId="28EFDB8A" w14:textId="77777777" w:rsidR="002C26E2" w:rsidRDefault="00812CB4">
            <w:pPr>
              <w:spacing w:after="117" w:line="259" w:lineRule="auto"/>
              <w:ind w:left="1" w:firstLine="0"/>
              <w:jc w:val="both"/>
            </w:pPr>
            <w:r>
              <w:rPr>
                <w:color w:val="FFFFFF"/>
              </w:rPr>
              <w:t xml:space="preserve">2026 Rates with </w:t>
            </w:r>
          </w:p>
          <w:p w14:paraId="14C60E35" w14:textId="77777777" w:rsidR="002C26E2" w:rsidRDefault="00812CB4">
            <w:pPr>
              <w:spacing w:after="0" w:line="259" w:lineRule="auto"/>
              <w:ind w:left="1" w:firstLine="0"/>
            </w:pPr>
            <w:r>
              <w:rPr>
                <w:color w:val="FFFFFF"/>
              </w:rPr>
              <w:t xml:space="preserve">16% uplift </w:t>
            </w:r>
          </w:p>
        </w:tc>
        <w:tc>
          <w:tcPr>
            <w:tcW w:w="1984" w:type="dxa"/>
            <w:tcBorders>
              <w:top w:val="single" w:sz="4" w:space="0" w:color="000000"/>
              <w:left w:val="single" w:sz="4" w:space="0" w:color="000000"/>
              <w:bottom w:val="single" w:sz="4" w:space="0" w:color="000000"/>
              <w:right w:val="single" w:sz="4" w:space="0" w:color="000000"/>
            </w:tcBorders>
            <w:shd w:val="clear" w:color="auto" w:fill="424996"/>
          </w:tcPr>
          <w:p w14:paraId="0D1BCF43" w14:textId="77777777" w:rsidR="002C26E2" w:rsidRDefault="00812CB4">
            <w:pPr>
              <w:spacing w:after="117" w:line="259" w:lineRule="auto"/>
              <w:ind w:left="1" w:firstLine="0"/>
              <w:jc w:val="both"/>
            </w:pPr>
            <w:r>
              <w:rPr>
                <w:color w:val="FFFFFF"/>
              </w:rPr>
              <w:t xml:space="preserve">2026 Rates with </w:t>
            </w:r>
          </w:p>
          <w:p w14:paraId="7EEB062B" w14:textId="77777777" w:rsidR="002C26E2" w:rsidRDefault="00812CB4">
            <w:pPr>
              <w:spacing w:after="0" w:line="259" w:lineRule="auto"/>
              <w:ind w:left="1" w:firstLine="0"/>
            </w:pPr>
            <w:r>
              <w:rPr>
                <w:color w:val="FFFFFF"/>
              </w:rPr>
              <w:t xml:space="preserve">26.05% uplift </w:t>
            </w:r>
          </w:p>
        </w:tc>
      </w:tr>
      <w:tr w:rsidR="002C26E2" w14:paraId="064AF3D5" w14:textId="77777777">
        <w:trPr>
          <w:trHeight w:val="584"/>
        </w:trPr>
        <w:tc>
          <w:tcPr>
            <w:tcW w:w="2829" w:type="dxa"/>
            <w:tcBorders>
              <w:top w:val="single" w:sz="4" w:space="0" w:color="000000"/>
              <w:left w:val="single" w:sz="4" w:space="0" w:color="000000"/>
              <w:bottom w:val="single" w:sz="4" w:space="0" w:color="000000"/>
              <w:right w:val="single" w:sz="4" w:space="0" w:color="000000"/>
            </w:tcBorders>
          </w:tcPr>
          <w:p w14:paraId="7568D0E2" w14:textId="77777777" w:rsidR="002C26E2" w:rsidRDefault="00812CB4">
            <w:pPr>
              <w:spacing w:after="0" w:line="259" w:lineRule="auto"/>
              <w:ind w:left="0" w:firstLine="0"/>
            </w:pPr>
            <w:r>
              <w:t xml:space="preserve">Solicitor </w:t>
            </w:r>
          </w:p>
        </w:tc>
        <w:tc>
          <w:tcPr>
            <w:tcW w:w="1853" w:type="dxa"/>
            <w:tcBorders>
              <w:top w:val="single" w:sz="4" w:space="0" w:color="000000"/>
              <w:left w:val="single" w:sz="4" w:space="0" w:color="000000"/>
              <w:bottom w:val="single" w:sz="4" w:space="0" w:color="000000"/>
              <w:right w:val="single" w:sz="4" w:space="0" w:color="000000"/>
            </w:tcBorders>
          </w:tcPr>
          <w:p w14:paraId="51226157" w14:textId="77777777" w:rsidR="002C26E2" w:rsidRDefault="00812CB4">
            <w:pPr>
              <w:spacing w:after="0" w:line="259" w:lineRule="auto"/>
              <w:ind w:left="1" w:firstLine="0"/>
            </w:pPr>
            <w:r>
              <w:t xml:space="preserve">£0 </w:t>
            </w:r>
          </w:p>
        </w:tc>
        <w:tc>
          <w:tcPr>
            <w:tcW w:w="1985" w:type="dxa"/>
            <w:tcBorders>
              <w:top w:val="single" w:sz="4" w:space="0" w:color="000000"/>
              <w:left w:val="single" w:sz="4" w:space="0" w:color="000000"/>
              <w:bottom w:val="single" w:sz="4" w:space="0" w:color="000000"/>
              <w:right w:val="single" w:sz="4" w:space="0" w:color="000000"/>
            </w:tcBorders>
          </w:tcPr>
          <w:p w14:paraId="2EFD2E88" w14:textId="77777777" w:rsidR="002C26E2" w:rsidRDefault="00812CB4">
            <w:pPr>
              <w:spacing w:after="0" w:line="259" w:lineRule="auto"/>
              <w:ind w:left="1" w:firstLine="0"/>
            </w:pPr>
            <w:r>
              <w:t xml:space="preserve">£0 </w:t>
            </w:r>
          </w:p>
        </w:tc>
        <w:tc>
          <w:tcPr>
            <w:tcW w:w="1984" w:type="dxa"/>
            <w:tcBorders>
              <w:top w:val="single" w:sz="4" w:space="0" w:color="000000"/>
              <w:left w:val="single" w:sz="4" w:space="0" w:color="000000"/>
              <w:bottom w:val="single" w:sz="4" w:space="0" w:color="000000"/>
              <w:right w:val="single" w:sz="4" w:space="0" w:color="000000"/>
            </w:tcBorders>
          </w:tcPr>
          <w:p w14:paraId="41EEEEC6" w14:textId="77777777" w:rsidR="002C26E2" w:rsidRDefault="00812CB4">
            <w:pPr>
              <w:spacing w:after="0" w:line="259" w:lineRule="auto"/>
              <w:ind w:left="1" w:firstLine="0"/>
            </w:pPr>
            <w:r>
              <w:t xml:space="preserve">£60 </w:t>
            </w:r>
          </w:p>
        </w:tc>
      </w:tr>
    </w:tbl>
    <w:p w14:paraId="0478D3F3" w14:textId="77777777" w:rsidR="002C26E2" w:rsidRDefault="00812CB4" w:rsidP="00444ECE">
      <w:pPr>
        <w:spacing w:after="120" w:line="259" w:lineRule="auto"/>
        <w:ind w:left="12" w:firstLine="0"/>
      </w:pPr>
      <w:r>
        <w:t xml:space="preserve"> </w:t>
      </w:r>
    </w:p>
    <w:p w14:paraId="2A67D324" w14:textId="77777777" w:rsidR="002C26E2" w:rsidRDefault="00812CB4">
      <w:pPr>
        <w:pStyle w:val="Heading2"/>
        <w:spacing w:after="0" w:line="611" w:lineRule="auto"/>
        <w:ind w:left="849" w:right="1873" w:hanging="852"/>
      </w:pPr>
      <w:bookmarkStart w:id="74" w:name="_Toc107612"/>
      <w:r>
        <w:rPr>
          <w:color w:val="004E9A"/>
          <w:sz w:val="28"/>
        </w:rPr>
        <w:t>R</w:t>
      </w:r>
      <w:r>
        <w:rPr>
          <w:color w:val="004E9A"/>
        </w:rPr>
        <w:t>ECOMMENDATIONS</w:t>
      </w:r>
      <w:r>
        <w:rPr>
          <w:color w:val="004E9A"/>
          <w:sz w:val="28"/>
        </w:rPr>
        <w:t>:</w:t>
      </w:r>
      <w:r>
        <w:rPr>
          <w:color w:val="004E9A"/>
        </w:rPr>
        <w:t xml:space="preserve"> </w:t>
      </w:r>
      <w:r>
        <w:rPr>
          <w:color w:val="004E9A"/>
          <w:sz w:val="28"/>
        </w:rPr>
        <w:t>C</w:t>
      </w:r>
      <w:r>
        <w:rPr>
          <w:color w:val="004E9A"/>
        </w:rPr>
        <w:t>ONSULTATIONS</w:t>
      </w:r>
      <w:r>
        <w:rPr>
          <w:color w:val="000000"/>
          <w:sz w:val="28"/>
        </w:rPr>
        <w:t xml:space="preserve"> </w:t>
      </w:r>
      <w:bookmarkEnd w:id="74"/>
    </w:p>
    <w:p w14:paraId="6C1BD8F4" w14:textId="77777777" w:rsidR="002C26E2" w:rsidRDefault="00812CB4">
      <w:pPr>
        <w:spacing w:after="0" w:line="611" w:lineRule="auto"/>
        <w:ind w:left="7" w:right="1873"/>
      </w:pPr>
      <w:r>
        <w:rPr>
          <w:b/>
          <w:u w:val="single" w:color="000000"/>
        </w:rPr>
        <w:t>Recommendation 12:</w:t>
      </w:r>
      <w:r>
        <w:rPr>
          <w:b/>
        </w:rPr>
        <w:t xml:space="preserve">  </w:t>
      </w:r>
    </w:p>
    <w:p w14:paraId="035EF06C" w14:textId="77777777" w:rsidR="002C26E2" w:rsidRDefault="00812CB4">
      <w:pPr>
        <w:spacing w:after="0"/>
        <w:ind w:left="7" w:right="225"/>
      </w:pPr>
      <w:r>
        <w:t xml:space="preserve">As consultations are currently set as an hourly rate. We recommend that the Consultation fees for barristers should be increased in line with the overall uplift of </w:t>
      </w:r>
    </w:p>
    <w:p w14:paraId="6C3A0260" w14:textId="77777777" w:rsidR="002C26E2" w:rsidRDefault="00812CB4">
      <w:pPr>
        <w:spacing w:after="355" w:line="259" w:lineRule="auto"/>
        <w:ind w:left="7" w:right="225"/>
      </w:pPr>
      <w:r>
        <w:rPr>
          <w:b/>
        </w:rPr>
        <w:t>26.05%,</w:t>
      </w:r>
      <w:r>
        <w:t xml:space="preserve"> with rates rounded up to the nearest pound. </w:t>
      </w:r>
    </w:p>
    <w:p w14:paraId="0879FDFC" w14:textId="77777777" w:rsidR="002C26E2" w:rsidRDefault="00812CB4">
      <w:pPr>
        <w:spacing w:after="353" w:line="263" w:lineRule="auto"/>
        <w:ind w:left="7"/>
      </w:pPr>
      <w:r>
        <w:rPr>
          <w:b/>
          <w:u w:val="single" w:color="000000"/>
        </w:rPr>
        <w:t>Recommendation</w:t>
      </w:r>
      <w:r>
        <w:rPr>
          <w:u w:val="single" w:color="000000"/>
        </w:rPr>
        <w:t xml:space="preserve"> </w:t>
      </w:r>
      <w:r>
        <w:rPr>
          <w:b/>
          <w:u w:val="single" w:color="000000"/>
        </w:rPr>
        <w:t>13</w:t>
      </w:r>
      <w:r>
        <w:rPr>
          <w:u w:val="single" w:color="000000"/>
        </w:rPr>
        <w:t>:</w:t>
      </w:r>
      <w:r>
        <w:t xml:space="preserve"> </w:t>
      </w:r>
    </w:p>
    <w:p w14:paraId="4B116F9B" w14:textId="77777777" w:rsidR="002C26E2" w:rsidRDefault="00812CB4">
      <w:pPr>
        <w:ind w:left="7" w:right="225"/>
      </w:pPr>
      <w:r>
        <w:t>A new discrete Crown Court consultation fee of £60 per hour should be introduced for solicitors</w:t>
      </w:r>
      <w:r>
        <w:rPr>
          <w:rFonts w:ascii="Times New Roman" w:eastAsia="Times New Roman" w:hAnsi="Times New Roman" w:cs="Times New Roman"/>
        </w:rPr>
        <w:t xml:space="preserve">. </w:t>
      </w:r>
    </w:p>
    <w:p w14:paraId="76F37CF3" w14:textId="77777777" w:rsidR="002C26E2" w:rsidRDefault="00812CB4">
      <w:pPr>
        <w:spacing w:after="352" w:line="263" w:lineRule="auto"/>
        <w:ind w:left="7"/>
      </w:pPr>
      <w:r>
        <w:rPr>
          <w:b/>
          <w:u w:val="single" w:color="000000"/>
        </w:rPr>
        <w:t>Recommendation</w:t>
      </w:r>
      <w:r>
        <w:rPr>
          <w:u w:val="single" w:color="000000"/>
        </w:rPr>
        <w:t xml:space="preserve"> </w:t>
      </w:r>
      <w:r>
        <w:rPr>
          <w:b/>
          <w:u w:val="single" w:color="000000"/>
        </w:rPr>
        <w:t>14</w:t>
      </w:r>
      <w:r>
        <w:rPr>
          <w:rFonts w:ascii="Times New Roman" w:eastAsia="Times New Roman" w:hAnsi="Times New Roman" w:cs="Times New Roman"/>
          <w:b/>
          <w:u w:val="single" w:color="000000"/>
        </w:rPr>
        <w:t>:</w:t>
      </w:r>
      <w:r>
        <w:rPr>
          <w:rFonts w:ascii="Times New Roman" w:eastAsia="Times New Roman" w:hAnsi="Times New Roman" w:cs="Times New Roman"/>
          <w:b/>
        </w:rPr>
        <w:t xml:space="preserve">  </w:t>
      </w:r>
    </w:p>
    <w:p w14:paraId="760D68D7" w14:textId="77777777" w:rsidR="002C26E2" w:rsidRDefault="00812CB4">
      <w:pPr>
        <w:ind w:left="7" w:right="225"/>
      </w:pPr>
      <w:r>
        <w:t xml:space="preserve">Exceptional Preparation should </w:t>
      </w:r>
      <w:r>
        <w:rPr>
          <w:b/>
        </w:rPr>
        <w:t>not</w:t>
      </w:r>
      <w:r>
        <w:t xml:space="preserve"> be used to remunerate consultation work by either barristers or solicitors, except in genuinely exceptional circumstances.</w:t>
      </w:r>
      <w:r>
        <w:rPr>
          <w:color w:val="EE0000"/>
        </w:rPr>
        <w:t xml:space="preserve"> </w:t>
      </w:r>
    </w:p>
    <w:p w14:paraId="7B7BF5F7" w14:textId="77777777" w:rsidR="002C26E2" w:rsidRDefault="00812CB4">
      <w:pPr>
        <w:spacing w:after="109" w:line="265" w:lineRule="auto"/>
        <w:ind w:left="7"/>
      </w:pPr>
      <w:r>
        <w:rPr>
          <w:u w:val="single" w:color="000000"/>
        </w:rPr>
        <w:t>Costs</w:t>
      </w:r>
      <w:r>
        <w:t xml:space="preserve"> </w:t>
      </w:r>
    </w:p>
    <w:p w14:paraId="36DB349F" w14:textId="29AF1E72" w:rsidR="00444ECE" w:rsidRDefault="00812CB4" w:rsidP="00444ECE">
      <w:pPr>
        <w:spacing w:after="188"/>
        <w:ind w:left="7" w:right="225"/>
        <w:rPr>
          <w:color w:val="004E9A"/>
          <w:sz w:val="36"/>
        </w:rPr>
        <w:sectPr w:rsidR="00444ECE">
          <w:pgSz w:w="11906" w:h="16838"/>
          <w:pgMar w:top="1222" w:right="1213" w:bottom="1358" w:left="1428" w:header="720" w:footer="707" w:gutter="0"/>
          <w:cols w:space="720"/>
        </w:sectPr>
      </w:pPr>
      <w:r>
        <w:t xml:space="preserve">It is forecast that implementation of recommendations 12, 13 and 14 will lead to additional legal aid costs per year of £84k.  </w:t>
      </w:r>
      <w:bookmarkStart w:id="75" w:name="_Toc107613"/>
    </w:p>
    <w:p w14:paraId="4CEEF95E" w14:textId="77777777" w:rsidR="002C26E2" w:rsidRDefault="00812CB4">
      <w:pPr>
        <w:pStyle w:val="Heading1"/>
        <w:spacing w:after="0" w:line="259" w:lineRule="auto"/>
        <w:ind w:left="849" w:hanging="852"/>
      </w:pPr>
      <w:r>
        <w:rPr>
          <w:color w:val="004E9A"/>
          <w:sz w:val="36"/>
        </w:rPr>
        <w:t>A</w:t>
      </w:r>
      <w:r>
        <w:rPr>
          <w:color w:val="004E9A"/>
          <w:sz w:val="29"/>
        </w:rPr>
        <w:t xml:space="preserve">UDIO </w:t>
      </w:r>
      <w:r>
        <w:rPr>
          <w:color w:val="004E9A"/>
          <w:sz w:val="36"/>
        </w:rPr>
        <w:t>V</w:t>
      </w:r>
      <w:r>
        <w:rPr>
          <w:color w:val="004E9A"/>
          <w:sz w:val="29"/>
        </w:rPr>
        <w:t xml:space="preserve">ISUAL </w:t>
      </w:r>
      <w:r>
        <w:rPr>
          <w:color w:val="004E9A"/>
          <w:sz w:val="36"/>
        </w:rPr>
        <w:t>M</w:t>
      </w:r>
      <w:r>
        <w:rPr>
          <w:color w:val="004E9A"/>
          <w:sz w:val="29"/>
        </w:rPr>
        <w:t xml:space="preserve">ATERIAL </w:t>
      </w:r>
      <w:r>
        <w:rPr>
          <w:color w:val="004E9A"/>
          <w:sz w:val="36"/>
        </w:rPr>
        <w:t>R</w:t>
      </w:r>
      <w:r>
        <w:rPr>
          <w:color w:val="004E9A"/>
          <w:sz w:val="29"/>
        </w:rPr>
        <w:t>EVIEW</w:t>
      </w:r>
      <w:r>
        <w:rPr>
          <w:color w:val="004E9A"/>
          <w:sz w:val="36"/>
        </w:rPr>
        <w:t xml:space="preserve"> </w:t>
      </w:r>
      <w:bookmarkEnd w:id="75"/>
    </w:p>
    <w:p w14:paraId="06E158A1" w14:textId="77777777" w:rsidR="002C26E2" w:rsidRDefault="00812CB4">
      <w:pPr>
        <w:spacing w:after="293" w:line="259" w:lineRule="auto"/>
        <w:ind w:left="-17" w:firstLine="0"/>
      </w:pPr>
      <w:r>
        <w:rPr>
          <w:rFonts w:ascii="Calibri" w:eastAsia="Calibri" w:hAnsi="Calibri" w:cs="Calibri"/>
          <w:noProof/>
          <w:sz w:val="22"/>
        </w:rPr>
        <mc:AlternateContent>
          <mc:Choice Requires="wpg">
            <w:drawing>
              <wp:inline distT="0" distB="0" distL="0" distR="0" wp14:anchorId="37402390" wp14:editId="32A112CC">
                <wp:extent cx="5769610" cy="6096"/>
                <wp:effectExtent l="0" t="0" r="0" b="0"/>
                <wp:docPr id="100450" name="Group 100450"/>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15" name="Shape 110015"/>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00450" style="width:454.3pt;height:0.47998pt;mso-position-horizontal-relative:char;mso-position-vertical-relative:line" coordsize="57696,60">
                <v:shape id="Shape 110016"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0E11C4ED" w14:textId="77777777" w:rsidR="002C26E2" w:rsidRDefault="00812CB4">
      <w:pPr>
        <w:spacing w:after="417"/>
        <w:ind w:left="7" w:right="225"/>
      </w:pPr>
      <w:r>
        <w:t xml:space="preserve">In Northern Ireland, the proliferation of Audio-Visual evidence has become a feature in modern criminal law practice. This section examines the remuneration of work carried out by solicitors and barristers in </w:t>
      </w:r>
      <w:r>
        <w:rPr>
          <w:b/>
        </w:rPr>
        <w:t>reviewing audio-visual (AV) material</w:t>
      </w:r>
      <w:r>
        <w:t xml:space="preserve"> in Crown Court proceedings. It considers current practice, assesses the scale and drivers of costs, evaluates the submissions made, and sets out recommendations for a more proportionate and transparent remuneration mechanism within the scope of the Accelerated Review. </w:t>
      </w:r>
    </w:p>
    <w:p w14:paraId="5ABC608F" w14:textId="77777777" w:rsidR="002C26E2" w:rsidRDefault="00812CB4">
      <w:pPr>
        <w:pStyle w:val="Heading2"/>
        <w:ind w:left="849" w:right="200" w:hanging="852"/>
      </w:pPr>
      <w:bookmarkStart w:id="76" w:name="_Toc107614"/>
      <w:r>
        <w:rPr>
          <w:color w:val="004E9A"/>
          <w:sz w:val="28"/>
        </w:rPr>
        <w:t>E</w:t>
      </w:r>
      <w:r>
        <w:rPr>
          <w:color w:val="004E9A"/>
        </w:rPr>
        <w:t>XISTING</w:t>
      </w:r>
      <w:r>
        <w:rPr>
          <w:color w:val="000000"/>
        </w:rPr>
        <w:t xml:space="preserve"> </w:t>
      </w:r>
      <w:r>
        <w:rPr>
          <w:color w:val="004E9A"/>
        </w:rPr>
        <w:t>POSITION</w:t>
      </w:r>
      <w:r>
        <w:rPr>
          <w:color w:val="000000"/>
          <w:sz w:val="28"/>
        </w:rPr>
        <w:t xml:space="preserve"> </w:t>
      </w:r>
      <w:bookmarkEnd w:id="76"/>
    </w:p>
    <w:p w14:paraId="07D12B17" w14:textId="77777777" w:rsidR="002C26E2" w:rsidRDefault="00812CB4">
      <w:pPr>
        <w:spacing w:after="349" w:line="265" w:lineRule="auto"/>
        <w:ind w:left="7"/>
      </w:pPr>
      <w:r>
        <w:rPr>
          <w:u w:val="single" w:color="000000"/>
        </w:rPr>
        <w:t>Current remuneration arrangements</w:t>
      </w:r>
      <w:r>
        <w:t xml:space="preserve"> </w:t>
      </w:r>
    </w:p>
    <w:p w14:paraId="7E6EBC5C" w14:textId="77777777" w:rsidR="002C26E2" w:rsidRDefault="00812CB4">
      <w:pPr>
        <w:spacing w:line="259" w:lineRule="auto"/>
        <w:ind w:left="7" w:right="225"/>
      </w:pPr>
      <w:r>
        <w:t xml:space="preserve">Under the current framework: </w:t>
      </w:r>
    </w:p>
    <w:p w14:paraId="793D1FA9" w14:textId="77777777" w:rsidR="002C26E2" w:rsidRDefault="00812CB4">
      <w:pPr>
        <w:numPr>
          <w:ilvl w:val="0"/>
          <w:numId w:val="59"/>
        </w:numPr>
        <w:spacing w:after="112"/>
        <w:ind w:right="225" w:hanging="355"/>
      </w:pPr>
      <w:r>
        <w:rPr>
          <w:b/>
        </w:rPr>
        <w:t>Barristers</w:t>
      </w:r>
      <w:r>
        <w:t xml:space="preserve"> may be paid specific fees or claim Exceptional Preparation (EP) for reviewing AV material. </w:t>
      </w:r>
    </w:p>
    <w:p w14:paraId="38F49B8B" w14:textId="77777777" w:rsidR="002C26E2" w:rsidRDefault="00812CB4">
      <w:pPr>
        <w:numPr>
          <w:ilvl w:val="0"/>
          <w:numId w:val="59"/>
        </w:numPr>
        <w:spacing w:after="112"/>
        <w:ind w:right="225" w:hanging="355"/>
      </w:pPr>
      <w:r>
        <w:rPr>
          <w:b/>
        </w:rPr>
        <w:t>Solicitors</w:t>
      </w:r>
      <w:r>
        <w:t xml:space="preserve"> receive no discrete additional Crown Court fee for reviewing AV material. </w:t>
      </w:r>
    </w:p>
    <w:p w14:paraId="1AFFF4CC" w14:textId="77777777" w:rsidR="002C26E2" w:rsidRDefault="00812CB4">
      <w:pPr>
        <w:numPr>
          <w:ilvl w:val="0"/>
          <w:numId w:val="59"/>
        </w:numPr>
        <w:ind w:right="225" w:hanging="355"/>
      </w:pPr>
      <w:r>
        <w:rPr>
          <w:b/>
        </w:rPr>
        <w:t>Accordingly</w:t>
      </w:r>
      <w:r>
        <w:t xml:space="preserve">, solicitors rely on </w:t>
      </w:r>
      <w:r>
        <w:rPr>
          <w:b/>
        </w:rPr>
        <w:t>Exceptional Preparation</w:t>
      </w:r>
      <w:r>
        <w:t xml:space="preserve"> to recover costs associated with reviewing CCTV or other AV evidence. </w:t>
      </w:r>
    </w:p>
    <w:p w14:paraId="685EECA8" w14:textId="77777777" w:rsidR="002C26E2" w:rsidRDefault="00812CB4">
      <w:pPr>
        <w:ind w:left="7" w:right="225"/>
      </w:pPr>
      <w:r>
        <w:t xml:space="preserve">In the case of solicitors, the Department contends that the review of audio/visual material is included within the standard Crown Court fees payable to solicitors, thereby negating the need to rely on Exceptional Preparation to recover any such costs, except in genuinely complex cases. </w:t>
      </w:r>
    </w:p>
    <w:p w14:paraId="1CA9CBDD" w14:textId="77777777" w:rsidR="002C26E2" w:rsidRDefault="00812CB4">
      <w:pPr>
        <w:spacing w:after="349" w:line="265" w:lineRule="auto"/>
        <w:ind w:left="7"/>
      </w:pPr>
      <w:r>
        <w:rPr>
          <w:u w:val="single" w:color="000000"/>
        </w:rPr>
        <w:t>EP costs associated with AV material (Crown Court)</w:t>
      </w:r>
      <w:r>
        <w:t xml:space="preserve"> </w:t>
      </w:r>
    </w:p>
    <w:p w14:paraId="38FEA72A" w14:textId="77777777" w:rsidR="002C26E2" w:rsidRDefault="00812CB4">
      <w:pPr>
        <w:ind w:left="7" w:right="225"/>
      </w:pPr>
      <w:r>
        <w:t xml:space="preserve">Data supplied by the Department shows that, in </w:t>
      </w:r>
      <w:r>
        <w:rPr>
          <w:b/>
        </w:rPr>
        <w:t>2025</w:t>
      </w:r>
      <w:r>
        <w:t xml:space="preserve">, EP costs incurred in the Crown Court for reviewing AV material were approximately </w:t>
      </w:r>
      <w:r>
        <w:rPr>
          <w:b/>
        </w:rPr>
        <w:t>£377,589</w:t>
      </w:r>
      <w:r>
        <w:t xml:space="preserve">, with the work spread across solicitors, barristers, and counsel at different levels of seniority. </w:t>
      </w:r>
    </w:p>
    <w:p w14:paraId="1C5FD3D9" w14:textId="77777777" w:rsidR="002C26E2" w:rsidRDefault="00812CB4">
      <w:pPr>
        <w:ind w:left="7" w:right="225"/>
      </w:pPr>
      <w:r>
        <w:t xml:space="preserve">The details of the EP charges for the Crown Court, relating to both solicitors and barristers, in 2025 for viewing CCTV were as follows: </w:t>
      </w:r>
    </w:p>
    <w:tbl>
      <w:tblPr>
        <w:tblStyle w:val="TableGrid"/>
        <w:tblW w:w="8784" w:type="dxa"/>
        <w:tblInd w:w="18" w:type="dxa"/>
        <w:tblCellMar>
          <w:top w:w="49" w:type="dxa"/>
          <w:left w:w="0" w:type="dxa"/>
          <w:bottom w:w="288" w:type="dxa"/>
          <w:right w:w="42" w:type="dxa"/>
        </w:tblCellMar>
        <w:tblLook w:val="04A0" w:firstRow="1" w:lastRow="0" w:firstColumn="1" w:lastColumn="0" w:noHBand="0" w:noVBand="1"/>
      </w:tblPr>
      <w:tblGrid>
        <w:gridCol w:w="3822"/>
        <w:gridCol w:w="1702"/>
        <w:gridCol w:w="911"/>
        <w:gridCol w:w="472"/>
        <w:gridCol w:w="1877"/>
      </w:tblGrid>
      <w:tr w:rsidR="002C26E2" w14:paraId="707D22B1" w14:textId="77777777">
        <w:trPr>
          <w:trHeight w:val="927"/>
        </w:trPr>
        <w:tc>
          <w:tcPr>
            <w:tcW w:w="3821" w:type="dxa"/>
            <w:tcBorders>
              <w:top w:val="single" w:sz="4" w:space="0" w:color="000000"/>
              <w:left w:val="single" w:sz="4" w:space="0" w:color="000000"/>
              <w:bottom w:val="single" w:sz="4" w:space="0" w:color="000000"/>
              <w:right w:val="single" w:sz="4" w:space="0" w:color="000000"/>
            </w:tcBorders>
            <w:shd w:val="clear" w:color="auto" w:fill="424996"/>
            <w:vAlign w:val="bottom"/>
          </w:tcPr>
          <w:p w14:paraId="234EDA4A" w14:textId="77777777" w:rsidR="002C26E2" w:rsidRDefault="00812CB4">
            <w:pPr>
              <w:spacing w:after="0" w:line="259" w:lineRule="auto"/>
              <w:ind w:left="107" w:firstLine="0"/>
            </w:pPr>
            <w:r>
              <w:rPr>
                <w:b/>
                <w:color w:val="FFFFFF"/>
                <w:sz w:val="22"/>
              </w:rPr>
              <w:t xml:space="preserve">Level of Representative </w:t>
            </w:r>
          </w:p>
        </w:tc>
        <w:tc>
          <w:tcPr>
            <w:tcW w:w="1702" w:type="dxa"/>
            <w:tcBorders>
              <w:top w:val="single" w:sz="4" w:space="0" w:color="000000"/>
              <w:left w:val="single" w:sz="4" w:space="0" w:color="000000"/>
              <w:bottom w:val="single" w:sz="4" w:space="0" w:color="000000"/>
              <w:right w:val="single" w:sz="4" w:space="0" w:color="000000"/>
            </w:tcBorders>
            <w:shd w:val="clear" w:color="auto" w:fill="424996"/>
          </w:tcPr>
          <w:p w14:paraId="2319140A" w14:textId="77777777" w:rsidR="002C26E2" w:rsidRDefault="00812CB4">
            <w:pPr>
              <w:spacing w:after="108" w:line="259" w:lineRule="auto"/>
              <w:ind w:left="109" w:firstLine="0"/>
            </w:pPr>
            <w:r>
              <w:rPr>
                <w:b/>
                <w:color w:val="FFFFFF"/>
                <w:sz w:val="22"/>
              </w:rPr>
              <w:t xml:space="preserve">Total Cost </w:t>
            </w:r>
          </w:p>
          <w:p w14:paraId="14227E3B" w14:textId="77777777" w:rsidR="002C26E2" w:rsidRDefault="00812CB4">
            <w:pPr>
              <w:spacing w:after="0" w:line="259" w:lineRule="auto"/>
              <w:ind w:left="109" w:firstLine="0"/>
            </w:pPr>
            <w:r>
              <w:rPr>
                <w:b/>
                <w:color w:val="FFFFFF"/>
                <w:sz w:val="22"/>
              </w:rPr>
              <w:t xml:space="preserve">2025 </w:t>
            </w:r>
          </w:p>
        </w:tc>
        <w:tc>
          <w:tcPr>
            <w:tcW w:w="911" w:type="dxa"/>
            <w:tcBorders>
              <w:top w:val="single" w:sz="4" w:space="0" w:color="000000"/>
              <w:left w:val="single" w:sz="4" w:space="0" w:color="000000"/>
              <w:bottom w:val="single" w:sz="4" w:space="0" w:color="000000"/>
              <w:right w:val="nil"/>
            </w:tcBorders>
            <w:shd w:val="clear" w:color="auto" w:fill="424996"/>
          </w:tcPr>
          <w:p w14:paraId="0A515290" w14:textId="77777777" w:rsidR="002C26E2" w:rsidRDefault="00812CB4">
            <w:pPr>
              <w:spacing w:after="108" w:line="259" w:lineRule="auto"/>
              <w:ind w:left="109" w:firstLine="0"/>
            </w:pPr>
            <w:r>
              <w:rPr>
                <w:b/>
                <w:color w:val="FFFFFF"/>
                <w:sz w:val="22"/>
              </w:rPr>
              <w:t xml:space="preserve">Hourly </w:t>
            </w:r>
          </w:p>
          <w:p w14:paraId="6CD90978" w14:textId="77777777" w:rsidR="002C26E2" w:rsidRDefault="00812CB4">
            <w:pPr>
              <w:spacing w:after="0" w:line="259" w:lineRule="auto"/>
              <w:ind w:left="109" w:firstLine="0"/>
            </w:pPr>
            <w:r>
              <w:rPr>
                <w:b/>
                <w:color w:val="FFFFFF"/>
                <w:sz w:val="22"/>
              </w:rPr>
              <w:t xml:space="preserve">Rate </w:t>
            </w:r>
          </w:p>
        </w:tc>
        <w:tc>
          <w:tcPr>
            <w:tcW w:w="472" w:type="dxa"/>
            <w:tcBorders>
              <w:top w:val="single" w:sz="4" w:space="0" w:color="000000"/>
              <w:left w:val="nil"/>
              <w:bottom w:val="single" w:sz="4" w:space="0" w:color="000000"/>
              <w:right w:val="single" w:sz="4" w:space="0" w:color="000000"/>
            </w:tcBorders>
            <w:shd w:val="clear" w:color="auto" w:fill="424996"/>
          </w:tcPr>
          <w:p w14:paraId="5D4D3269" w14:textId="77777777" w:rsidR="002C26E2" w:rsidRDefault="002C26E2">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shd w:val="clear" w:color="auto" w:fill="424996"/>
          </w:tcPr>
          <w:p w14:paraId="7593BCAF" w14:textId="77777777" w:rsidR="002C26E2" w:rsidRDefault="00812CB4">
            <w:pPr>
              <w:spacing w:after="108" w:line="259" w:lineRule="auto"/>
              <w:ind w:left="109" w:firstLine="0"/>
            </w:pPr>
            <w:r>
              <w:rPr>
                <w:b/>
                <w:color w:val="FFFFFF"/>
                <w:sz w:val="22"/>
              </w:rPr>
              <w:t xml:space="preserve">Est. No. of </w:t>
            </w:r>
          </w:p>
          <w:p w14:paraId="3FBA7DE9" w14:textId="77777777" w:rsidR="002C26E2" w:rsidRDefault="00812CB4">
            <w:pPr>
              <w:spacing w:after="0" w:line="259" w:lineRule="auto"/>
              <w:ind w:left="109" w:firstLine="0"/>
            </w:pPr>
            <w:r>
              <w:rPr>
                <w:b/>
                <w:color w:val="FFFFFF"/>
                <w:sz w:val="22"/>
              </w:rPr>
              <w:t xml:space="preserve">Hours </w:t>
            </w:r>
          </w:p>
        </w:tc>
      </w:tr>
      <w:tr w:rsidR="002C26E2" w14:paraId="61293CD4" w14:textId="77777777">
        <w:trPr>
          <w:trHeight w:val="930"/>
        </w:trPr>
        <w:tc>
          <w:tcPr>
            <w:tcW w:w="3821" w:type="dxa"/>
            <w:tcBorders>
              <w:top w:val="single" w:sz="4" w:space="0" w:color="000000"/>
              <w:left w:val="single" w:sz="4" w:space="0" w:color="000000"/>
              <w:bottom w:val="single" w:sz="4" w:space="0" w:color="000000"/>
              <w:right w:val="single" w:sz="4" w:space="0" w:color="000000"/>
            </w:tcBorders>
          </w:tcPr>
          <w:p w14:paraId="0BA8D258" w14:textId="77777777" w:rsidR="002C26E2" w:rsidRDefault="00812CB4">
            <w:pPr>
              <w:spacing w:after="107" w:line="259" w:lineRule="auto"/>
              <w:ind w:left="107" w:firstLine="0"/>
            </w:pPr>
            <w:r>
              <w:rPr>
                <w:sz w:val="22"/>
              </w:rPr>
              <w:t xml:space="preserve">Exceptional Preparation (Apprentice) </w:t>
            </w:r>
          </w:p>
          <w:p w14:paraId="669A3F20" w14:textId="77777777" w:rsidR="002C26E2" w:rsidRDefault="00812CB4">
            <w:pPr>
              <w:spacing w:after="0" w:line="259" w:lineRule="auto"/>
              <w:ind w:left="107" w:firstLine="0"/>
            </w:pPr>
            <w:r>
              <w:rPr>
                <w:sz w:val="22"/>
              </w:rPr>
              <w:t xml:space="preserve">- Viewing CCTV </w:t>
            </w:r>
          </w:p>
        </w:tc>
        <w:tc>
          <w:tcPr>
            <w:tcW w:w="1702" w:type="dxa"/>
            <w:tcBorders>
              <w:top w:val="single" w:sz="4" w:space="0" w:color="000000"/>
              <w:left w:val="single" w:sz="4" w:space="0" w:color="000000"/>
              <w:bottom w:val="single" w:sz="4" w:space="0" w:color="000000"/>
              <w:right w:val="single" w:sz="4" w:space="0" w:color="000000"/>
            </w:tcBorders>
            <w:vAlign w:val="bottom"/>
          </w:tcPr>
          <w:p w14:paraId="4674A191" w14:textId="77777777" w:rsidR="002C26E2" w:rsidRDefault="00812CB4">
            <w:pPr>
              <w:spacing w:after="0" w:line="259" w:lineRule="auto"/>
              <w:ind w:left="0" w:right="62" w:firstLine="0"/>
              <w:jc w:val="right"/>
            </w:pPr>
            <w:r>
              <w:rPr>
                <w:sz w:val="22"/>
              </w:rPr>
              <w:t xml:space="preserve">£37,580.80 </w:t>
            </w:r>
          </w:p>
        </w:tc>
        <w:tc>
          <w:tcPr>
            <w:tcW w:w="911" w:type="dxa"/>
            <w:tcBorders>
              <w:top w:val="single" w:sz="4" w:space="0" w:color="000000"/>
              <w:left w:val="single" w:sz="4" w:space="0" w:color="000000"/>
              <w:bottom w:val="single" w:sz="4" w:space="0" w:color="000000"/>
              <w:right w:val="nil"/>
            </w:tcBorders>
          </w:tcPr>
          <w:p w14:paraId="03670395"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vAlign w:val="bottom"/>
          </w:tcPr>
          <w:p w14:paraId="22011EAF" w14:textId="77777777" w:rsidR="002C26E2" w:rsidRDefault="00812CB4">
            <w:pPr>
              <w:spacing w:after="0" w:line="259" w:lineRule="auto"/>
              <w:ind w:left="122" w:firstLine="0"/>
            </w:pPr>
            <w:r>
              <w:rPr>
                <w:sz w:val="22"/>
              </w:rPr>
              <w:t xml:space="preserve">50 </w:t>
            </w:r>
          </w:p>
        </w:tc>
        <w:tc>
          <w:tcPr>
            <w:tcW w:w="1877" w:type="dxa"/>
            <w:tcBorders>
              <w:top w:val="single" w:sz="4" w:space="0" w:color="000000"/>
              <w:left w:val="single" w:sz="4" w:space="0" w:color="000000"/>
              <w:bottom w:val="single" w:sz="4" w:space="0" w:color="000000"/>
              <w:right w:val="single" w:sz="4" w:space="0" w:color="000000"/>
            </w:tcBorders>
          </w:tcPr>
          <w:p w14:paraId="2002D1DA" w14:textId="77777777" w:rsidR="002C26E2" w:rsidRDefault="00812CB4">
            <w:pPr>
              <w:spacing w:after="107" w:line="259" w:lineRule="auto"/>
              <w:ind w:left="0" w:right="3" w:firstLine="0"/>
              <w:jc w:val="right"/>
            </w:pPr>
            <w:r>
              <w:rPr>
                <w:sz w:val="22"/>
              </w:rPr>
              <w:t xml:space="preserve"> </w:t>
            </w:r>
          </w:p>
          <w:p w14:paraId="27396D77" w14:textId="77777777" w:rsidR="002C26E2" w:rsidRDefault="00812CB4">
            <w:pPr>
              <w:spacing w:after="0" w:line="259" w:lineRule="auto"/>
              <w:ind w:left="0" w:right="64" w:firstLine="0"/>
              <w:jc w:val="right"/>
            </w:pPr>
            <w:r>
              <w:rPr>
                <w:sz w:val="22"/>
              </w:rPr>
              <w:t xml:space="preserve">752 </w:t>
            </w:r>
          </w:p>
        </w:tc>
      </w:tr>
      <w:tr w:rsidR="002C26E2" w14:paraId="53A3A212" w14:textId="77777777">
        <w:trPr>
          <w:trHeight w:val="929"/>
        </w:trPr>
        <w:tc>
          <w:tcPr>
            <w:tcW w:w="3821" w:type="dxa"/>
            <w:tcBorders>
              <w:top w:val="single" w:sz="4" w:space="0" w:color="000000"/>
              <w:left w:val="single" w:sz="4" w:space="0" w:color="000000"/>
              <w:bottom w:val="single" w:sz="4" w:space="0" w:color="000000"/>
              <w:right w:val="single" w:sz="4" w:space="0" w:color="000000"/>
            </w:tcBorders>
          </w:tcPr>
          <w:p w14:paraId="060F7F9D" w14:textId="77777777" w:rsidR="002C26E2" w:rsidRDefault="00812CB4">
            <w:pPr>
              <w:spacing w:after="107" w:line="259" w:lineRule="auto"/>
              <w:ind w:left="107" w:firstLine="0"/>
            </w:pPr>
            <w:r>
              <w:rPr>
                <w:sz w:val="22"/>
              </w:rPr>
              <w:t xml:space="preserve">Exceptional Preparation (Senior </w:t>
            </w:r>
          </w:p>
          <w:p w14:paraId="1B9F6169" w14:textId="77777777" w:rsidR="002C26E2" w:rsidRDefault="00812CB4">
            <w:pPr>
              <w:spacing w:after="0" w:line="259" w:lineRule="auto"/>
              <w:ind w:left="107" w:firstLine="0"/>
            </w:pPr>
            <w:r>
              <w:rPr>
                <w:sz w:val="22"/>
              </w:rPr>
              <w:t xml:space="preserve">Solicitor) - Viewing CCTV </w:t>
            </w:r>
          </w:p>
        </w:tc>
        <w:tc>
          <w:tcPr>
            <w:tcW w:w="1702" w:type="dxa"/>
            <w:tcBorders>
              <w:top w:val="single" w:sz="4" w:space="0" w:color="000000"/>
              <w:left w:val="single" w:sz="4" w:space="0" w:color="000000"/>
              <w:bottom w:val="single" w:sz="4" w:space="0" w:color="000000"/>
              <w:right w:val="single" w:sz="4" w:space="0" w:color="000000"/>
            </w:tcBorders>
            <w:vAlign w:val="bottom"/>
          </w:tcPr>
          <w:p w14:paraId="4C68B589" w14:textId="77777777" w:rsidR="002C26E2" w:rsidRDefault="00812CB4">
            <w:pPr>
              <w:spacing w:after="0" w:line="259" w:lineRule="auto"/>
              <w:ind w:left="0" w:right="62" w:firstLine="0"/>
              <w:jc w:val="right"/>
            </w:pPr>
            <w:r>
              <w:rPr>
                <w:sz w:val="22"/>
              </w:rPr>
              <w:t xml:space="preserve">£267,591.91 </w:t>
            </w:r>
          </w:p>
        </w:tc>
        <w:tc>
          <w:tcPr>
            <w:tcW w:w="911" w:type="dxa"/>
            <w:tcBorders>
              <w:top w:val="single" w:sz="4" w:space="0" w:color="000000"/>
              <w:left w:val="single" w:sz="4" w:space="0" w:color="000000"/>
              <w:bottom w:val="single" w:sz="4" w:space="0" w:color="000000"/>
              <w:right w:val="nil"/>
            </w:tcBorders>
          </w:tcPr>
          <w:p w14:paraId="6809320B"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vAlign w:val="bottom"/>
          </w:tcPr>
          <w:p w14:paraId="43D1B1B4" w14:textId="77777777" w:rsidR="002C26E2" w:rsidRDefault="00812CB4">
            <w:pPr>
              <w:spacing w:after="0" w:line="259" w:lineRule="auto"/>
              <w:ind w:left="0" w:firstLine="0"/>
              <w:jc w:val="both"/>
            </w:pPr>
            <w:r>
              <w:rPr>
                <w:sz w:val="22"/>
              </w:rPr>
              <w:t xml:space="preserve">130 </w:t>
            </w:r>
          </w:p>
        </w:tc>
        <w:tc>
          <w:tcPr>
            <w:tcW w:w="1877" w:type="dxa"/>
            <w:tcBorders>
              <w:top w:val="single" w:sz="4" w:space="0" w:color="000000"/>
              <w:left w:val="single" w:sz="4" w:space="0" w:color="000000"/>
              <w:bottom w:val="single" w:sz="4" w:space="0" w:color="000000"/>
              <w:right w:val="single" w:sz="4" w:space="0" w:color="000000"/>
            </w:tcBorders>
          </w:tcPr>
          <w:p w14:paraId="5E9B1AD5" w14:textId="77777777" w:rsidR="002C26E2" w:rsidRDefault="00812CB4">
            <w:pPr>
              <w:spacing w:after="107" w:line="259" w:lineRule="auto"/>
              <w:ind w:left="0" w:right="3" w:firstLine="0"/>
              <w:jc w:val="right"/>
            </w:pPr>
            <w:r>
              <w:rPr>
                <w:sz w:val="22"/>
              </w:rPr>
              <w:t xml:space="preserve"> </w:t>
            </w:r>
          </w:p>
          <w:p w14:paraId="7F61526A" w14:textId="77777777" w:rsidR="002C26E2" w:rsidRDefault="00812CB4">
            <w:pPr>
              <w:spacing w:after="0" w:line="259" w:lineRule="auto"/>
              <w:ind w:left="0" w:right="64" w:firstLine="0"/>
              <w:jc w:val="right"/>
            </w:pPr>
            <w:r>
              <w:rPr>
                <w:sz w:val="22"/>
              </w:rPr>
              <w:t xml:space="preserve">2,058 </w:t>
            </w:r>
          </w:p>
        </w:tc>
      </w:tr>
      <w:tr w:rsidR="002C26E2" w14:paraId="7E822883" w14:textId="77777777">
        <w:trPr>
          <w:trHeight w:val="929"/>
        </w:trPr>
        <w:tc>
          <w:tcPr>
            <w:tcW w:w="3821" w:type="dxa"/>
            <w:tcBorders>
              <w:top w:val="single" w:sz="4" w:space="0" w:color="000000"/>
              <w:left w:val="single" w:sz="4" w:space="0" w:color="000000"/>
              <w:bottom w:val="single" w:sz="4" w:space="0" w:color="000000"/>
              <w:right w:val="single" w:sz="4" w:space="0" w:color="000000"/>
            </w:tcBorders>
          </w:tcPr>
          <w:p w14:paraId="478D663A" w14:textId="77777777" w:rsidR="002C26E2" w:rsidRDefault="00812CB4">
            <w:pPr>
              <w:spacing w:after="107" w:line="259" w:lineRule="auto"/>
              <w:ind w:left="107" w:firstLine="0"/>
            </w:pPr>
            <w:r>
              <w:rPr>
                <w:sz w:val="22"/>
              </w:rPr>
              <w:t xml:space="preserve">Exceptional Preparation (Solicitor) - </w:t>
            </w:r>
          </w:p>
          <w:p w14:paraId="1697A92C" w14:textId="77777777" w:rsidR="002C26E2" w:rsidRDefault="00812CB4">
            <w:pPr>
              <w:spacing w:after="0" w:line="259" w:lineRule="auto"/>
              <w:ind w:left="107" w:firstLine="0"/>
            </w:pPr>
            <w:r>
              <w:rPr>
                <w:sz w:val="22"/>
              </w:rPr>
              <w:t xml:space="preserve">Viewing CCTV </w:t>
            </w:r>
          </w:p>
        </w:tc>
        <w:tc>
          <w:tcPr>
            <w:tcW w:w="1702" w:type="dxa"/>
            <w:tcBorders>
              <w:top w:val="single" w:sz="4" w:space="0" w:color="000000"/>
              <w:left w:val="single" w:sz="4" w:space="0" w:color="000000"/>
              <w:bottom w:val="single" w:sz="4" w:space="0" w:color="000000"/>
              <w:right w:val="single" w:sz="4" w:space="0" w:color="000000"/>
            </w:tcBorders>
            <w:vAlign w:val="bottom"/>
          </w:tcPr>
          <w:p w14:paraId="5341B840" w14:textId="77777777" w:rsidR="002C26E2" w:rsidRDefault="00812CB4">
            <w:pPr>
              <w:spacing w:after="0" w:line="259" w:lineRule="auto"/>
              <w:ind w:left="0" w:right="62" w:firstLine="0"/>
              <w:jc w:val="right"/>
            </w:pPr>
            <w:r>
              <w:rPr>
                <w:sz w:val="22"/>
              </w:rPr>
              <w:t xml:space="preserve">£66,925.00 </w:t>
            </w:r>
          </w:p>
        </w:tc>
        <w:tc>
          <w:tcPr>
            <w:tcW w:w="911" w:type="dxa"/>
            <w:tcBorders>
              <w:top w:val="single" w:sz="4" w:space="0" w:color="000000"/>
              <w:left w:val="single" w:sz="4" w:space="0" w:color="000000"/>
              <w:bottom w:val="single" w:sz="4" w:space="0" w:color="000000"/>
              <w:right w:val="nil"/>
            </w:tcBorders>
          </w:tcPr>
          <w:p w14:paraId="1B466317"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vAlign w:val="bottom"/>
          </w:tcPr>
          <w:p w14:paraId="76543C26" w14:textId="77777777" w:rsidR="002C26E2" w:rsidRDefault="00812CB4">
            <w:pPr>
              <w:spacing w:after="0" w:line="259" w:lineRule="auto"/>
              <w:ind w:left="122" w:firstLine="0"/>
            </w:pPr>
            <w:r>
              <w:rPr>
                <w:sz w:val="22"/>
              </w:rPr>
              <w:t xml:space="preserve">90 </w:t>
            </w:r>
          </w:p>
        </w:tc>
        <w:tc>
          <w:tcPr>
            <w:tcW w:w="1877" w:type="dxa"/>
            <w:tcBorders>
              <w:top w:val="single" w:sz="4" w:space="0" w:color="000000"/>
              <w:left w:val="single" w:sz="4" w:space="0" w:color="000000"/>
              <w:bottom w:val="single" w:sz="4" w:space="0" w:color="000000"/>
              <w:right w:val="single" w:sz="4" w:space="0" w:color="000000"/>
            </w:tcBorders>
          </w:tcPr>
          <w:p w14:paraId="189472FF" w14:textId="77777777" w:rsidR="002C26E2" w:rsidRDefault="00812CB4">
            <w:pPr>
              <w:spacing w:after="107" w:line="259" w:lineRule="auto"/>
              <w:ind w:left="0" w:right="3" w:firstLine="0"/>
              <w:jc w:val="right"/>
            </w:pPr>
            <w:r>
              <w:rPr>
                <w:sz w:val="22"/>
              </w:rPr>
              <w:t xml:space="preserve"> </w:t>
            </w:r>
          </w:p>
          <w:p w14:paraId="120C576A" w14:textId="77777777" w:rsidR="002C26E2" w:rsidRDefault="00812CB4">
            <w:pPr>
              <w:spacing w:after="0" w:line="259" w:lineRule="auto"/>
              <w:ind w:left="0" w:right="64" w:firstLine="0"/>
              <w:jc w:val="right"/>
            </w:pPr>
            <w:r>
              <w:rPr>
                <w:sz w:val="22"/>
              </w:rPr>
              <w:t xml:space="preserve">744 </w:t>
            </w:r>
          </w:p>
        </w:tc>
      </w:tr>
      <w:tr w:rsidR="002C26E2" w14:paraId="1CF263C8" w14:textId="77777777">
        <w:trPr>
          <w:trHeight w:val="929"/>
        </w:trPr>
        <w:tc>
          <w:tcPr>
            <w:tcW w:w="3821" w:type="dxa"/>
            <w:tcBorders>
              <w:top w:val="single" w:sz="4" w:space="0" w:color="000000"/>
              <w:left w:val="single" w:sz="4" w:space="0" w:color="000000"/>
              <w:bottom w:val="single" w:sz="4" w:space="0" w:color="000000"/>
              <w:right w:val="single" w:sz="4" w:space="0" w:color="000000"/>
            </w:tcBorders>
          </w:tcPr>
          <w:p w14:paraId="625933D5" w14:textId="77777777" w:rsidR="002C26E2" w:rsidRDefault="00812CB4">
            <w:pPr>
              <w:spacing w:after="107" w:line="259" w:lineRule="auto"/>
              <w:ind w:left="107" w:firstLine="0"/>
            </w:pPr>
            <w:r>
              <w:rPr>
                <w:sz w:val="22"/>
              </w:rPr>
              <w:t xml:space="preserve">Exceptional Preparation (Barrister) - </w:t>
            </w:r>
          </w:p>
          <w:p w14:paraId="1326512B" w14:textId="77777777" w:rsidR="002C26E2" w:rsidRDefault="00812CB4">
            <w:pPr>
              <w:spacing w:after="0" w:line="259" w:lineRule="auto"/>
              <w:ind w:left="107" w:firstLine="0"/>
            </w:pPr>
            <w:r>
              <w:rPr>
                <w:sz w:val="22"/>
              </w:rPr>
              <w:t xml:space="preserve">Viewing CCTV** </w:t>
            </w:r>
          </w:p>
        </w:tc>
        <w:tc>
          <w:tcPr>
            <w:tcW w:w="1702" w:type="dxa"/>
            <w:tcBorders>
              <w:top w:val="single" w:sz="4" w:space="0" w:color="000000"/>
              <w:left w:val="single" w:sz="4" w:space="0" w:color="000000"/>
              <w:bottom w:val="single" w:sz="4" w:space="0" w:color="000000"/>
              <w:right w:val="single" w:sz="4" w:space="0" w:color="000000"/>
            </w:tcBorders>
            <w:vAlign w:val="bottom"/>
          </w:tcPr>
          <w:p w14:paraId="4004897B" w14:textId="77777777" w:rsidR="002C26E2" w:rsidRDefault="00812CB4">
            <w:pPr>
              <w:spacing w:after="0" w:line="259" w:lineRule="auto"/>
              <w:ind w:left="0" w:right="62" w:firstLine="0"/>
              <w:jc w:val="right"/>
            </w:pPr>
            <w:r>
              <w:rPr>
                <w:sz w:val="22"/>
              </w:rPr>
              <w:t xml:space="preserve">£3,268.33 </w:t>
            </w:r>
          </w:p>
        </w:tc>
        <w:tc>
          <w:tcPr>
            <w:tcW w:w="911" w:type="dxa"/>
            <w:tcBorders>
              <w:top w:val="single" w:sz="4" w:space="0" w:color="000000"/>
              <w:left w:val="single" w:sz="4" w:space="0" w:color="000000"/>
              <w:bottom w:val="single" w:sz="4" w:space="0" w:color="000000"/>
              <w:right w:val="nil"/>
            </w:tcBorders>
          </w:tcPr>
          <w:p w14:paraId="091B09A1"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vAlign w:val="bottom"/>
          </w:tcPr>
          <w:p w14:paraId="6D4D2613" w14:textId="77777777" w:rsidR="002C26E2" w:rsidRDefault="00812CB4">
            <w:pPr>
              <w:spacing w:after="0" w:line="259" w:lineRule="auto"/>
              <w:ind w:left="122" w:firstLine="0"/>
            </w:pPr>
            <w:r>
              <w:rPr>
                <w:sz w:val="22"/>
              </w:rPr>
              <w:t xml:space="preserve">85 </w:t>
            </w:r>
          </w:p>
        </w:tc>
        <w:tc>
          <w:tcPr>
            <w:tcW w:w="1877" w:type="dxa"/>
            <w:tcBorders>
              <w:top w:val="single" w:sz="4" w:space="0" w:color="000000"/>
              <w:left w:val="single" w:sz="4" w:space="0" w:color="000000"/>
              <w:bottom w:val="single" w:sz="4" w:space="0" w:color="000000"/>
              <w:right w:val="single" w:sz="4" w:space="0" w:color="000000"/>
            </w:tcBorders>
          </w:tcPr>
          <w:p w14:paraId="43BA96C5" w14:textId="77777777" w:rsidR="002C26E2" w:rsidRDefault="00812CB4">
            <w:pPr>
              <w:spacing w:after="107" w:line="259" w:lineRule="auto"/>
              <w:ind w:left="0" w:right="3" w:firstLine="0"/>
              <w:jc w:val="right"/>
            </w:pPr>
            <w:r>
              <w:rPr>
                <w:sz w:val="22"/>
              </w:rPr>
              <w:t xml:space="preserve"> </w:t>
            </w:r>
          </w:p>
          <w:p w14:paraId="6836E4BF" w14:textId="77777777" w:rsidR="002C26E2" w:rsidRDefault="00812CB4">
            <w:pPr>
              <w:spacing w:after="0" w:line="259" w:lineRule="auto"/>
              <w:ind w:left="0" w:right="64" w:firstLine="0"/>
              <w:jc w:val="right"/>
            </w:pPr>
            <w:r>
              <w:rPr>
                <w:sz w:val="22"/>
              </w:rPr>
              <w:t xml:space="preserve">38 </w:t>
            </w:r>
          </w:p>
        </w:tc>
      </w:tr>
      <w:tr w:rsidR="002C26E2" w14:paraId="180036DE" w14:textId="77777777">
        <w:trPr>
          <w:trHeight w:val="929"/>
        </w:trPr>
        <w:tc>
          <w:tcPr>
            <w:tcW w:w="3821" w:type="dxa"/>
            <w:tcBorders>
              <w:top w:val="single" w:sz="4" w:space="0" w:color="000000"/>
              <w:left w:val="single" w:sz="4" w:space="0" w:color="000000"/>
              <w:bottom w:val="single" w:sz="4" w:space="0" w:color="000000"/>
              <w:right w:val="single" w:sz="4" w:space="0" w:color="000000"/>
            </w:tcBorders>
          </w:tcPr>
          <w:p w14:paraId="19EAB4D1" w14:textId="77777777" w:rsidR="002C26E2" w:rsidRDefault="00812CB4">
            <w:pPr>
              <w:spacing w:after="107" w:line="259" w:lineRule="auto"/>
              <w:ind w:left="107" w:firstLine="0"/>
            </w:pPr>
            <w:r>
              <w:rPr>
                <w:sz w:val="22"/>
              </w:rPr>
              <w:t xml:space="preserve">Exceptional Preparation (KC) - </w:t>
            </w:r>
          </w:p>
          <w:p w14:paraId="5C278280" w14:textId="77777777" w:rsidR="002C26E2" w:rsidRDefault="00812CB4">
            <w:pPr>
              <w:spacing w:after="0" w:line="259" w:lineRule="auto"/>
              <w:ind w:left="107" w:firstLine="0"/>
            </w:pPr>
            <w:r>
              <w:rPr>
                <w:sz w:val="22"/>
              </w:rPr>
              <w:t xml:space="preserve">Viewing CCTV </w:t>
            </w:r>
          </w:p>
        </w:tc>
        <w:tc>
          <w:tcPr>
            <w:tcW w:w="1702" w:type="dxa"/>
            <w:tcBorders>
              <w:top w:val="single" w:sz="4" w:space="0" w:color="000000"/>
              <w:left w:val="single" w:sz="4" w:space="0" w:color="000000"/>
              <w:bottom w:val="single" w:sz="4" w:space="0" w:color="000000"/>
              <w:right w:val="single" w:sz="4" w:space="0" w:color="000000"/>
            </w:tcBorders>
            <w:vAlign w:val="bottom"/>
          </w:tcPr>
          <w:p w14:paraId="72C65AC3" w14:textId="77777777" w:rsidR="002C26E2" w:rsidRDefault="00812CB4">
            <w:pPr>
              <w:spacing w:after="0" w:line="259" w:lineRule="auto"/>
              <w:ind w:left="0" w:right="62" w:firstLine="0"/>
              <w:jc w:val="right"/>
            </w:pPr>
            <w:r>
              <w:rPr>
                <w:sz w:val="22"/>
              </w:rPr>
              <w:t xml:space="preserve">£2,222.50 </w:t>
            </w:r>
          </w:p>
        </w:tc>
        <w:tc>
          <w:tcPr>
            <w:tcW w:w="911" w:type="dxa"/>
            <w:tcBorders>
              <w:top w:val="single" w:sz="4" w:space="0" w:color="000000"/>
              <w:left w:val="single" w:sz="4" w:space="0" w:color="000000"/>
              <w:bottom w:val="single" w:sz="4" w:space="0" w:color="000000"/>
              <w:right w:val="nil"/>
            </w:tcBorders>
          </w:tcPr>
          <w:p w14:paraId="3E94EB1E"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vAlign w:val="bottom"/>
          </w:tcPr>
          <w:p w14:paraId="720CB689" w14:textId="77777777" w:rsidR="002C26E2" w:rsidRDefault="00812CB4">
            <w:pPr>
              <w:spacing w:after="0" w:line="259" w:lineRule="auto"/>
              <w:ind w:left="0" w:firstLine="0"/>
              <w:jc w:val="both"/>
            </w:pPr>
            <w:r>
              <w:rPr>
                <w:sz w:val="22"/>
              </w:rPr>
              <w:t xml:space="preserve">130 </w:t>
            </w:r>
          </w:p>
        </w:tc>
        <w:tc>
          <w:tcPr>
            <w:tcW w:w="1877" w:type="dxa"/>
            <w:tcBorders>
              <w:top w:val="single" w:sz="4" w:space="0" w:color="000000"/>
              <w:left w:val="single" w:sz="4" w:space="0" w:color="000000"/>
              <w:bottom w:val="single" w:sz="4" w:space="0" w:color="000000"/>
              <w:right w:val="single" w:sz="4" w:space="0" w:color="000000"/>
            </w:tcBorders>
          </w:tcPr>
          <w:p w14:paraId="6CC3A166" w14:textId="77777777" w:rsidR="002C26E2" w:rsidRDefault="00812CB4">
            <w:pPr>
              <w:spacing w:after="107" w:line="259" w:lineRule="auto"/>
              <w:ind w:left="0" w:right="3" w:firstLine="0"/>
              <w:jc w:val="right"/>
            </w:pPr>
            <w:r>
              <w:rPr>
                <w:sz w:val="22"/>
              </w:rPr>
              <w:t xml:space="preserve"> </w:t>
            </w:r>
          </w:p>
          <w:p w14:paraId="2813BB2B" w14:textId="77777777" w:rsidR="002C26E2" w:rsidRDefault="00812CB4">
            <w:pPr>
              <w:spacing w:after="0" w:line="259" w:lineRule="auto"/>
              <w:ind w:left="0" w:right="64" w:firstLine="0"/>
              <w:jc w:val="right"/>
            </w:pPr>
            <w:r>
              <w:rPr>
                <w:sz w:val="22"/>
              </w:rPr>
              <w:t xml:space="preserve">17 </w:t>
            </w:r>
          </w:p>
        </w:tc>
      </w:tr>
      <w:tr w:rsidR="002C26E2" w14:paraId="720EF6C6" w14:textId="77777777">
        <w:trPr>
          <w:trHeight w:val="929"/>
        </w:trPr>
        <w:tc>
          <w:tcPr>
            <w:tcW w:w="3821" w:type="dxa"/>
            <w:tcBorders>
              <w:top w:val="single" w:sz="4" w:space="0" w:color="000000"/>
              <w:left w:val="single" w:sz="4" w:space="0" w:color="000000"/>
              <w:bottom w:val="single" w:sz="4" w:space="0" w:color="000000"/>
              <w:right w:val="single" w:sz="4" w:space="0" w:color="000000"/>
            </w:tcBorders>
            <w:vAlign w:val="bottom"/>
          </w:tcPr>
          <w:p w14:paraId="5B4598BF" w14:textId="77777777" w:rsidR="002C26E2" w:rsidRDefault="00812CB4">
            <w:pPr>
              <w:spacing w:after="0" w:line="259" w:lineRule="auto"/>
              <w:ind w:left="107" w:firstLine="0"/>
            </w:pPr>
            <w:r>
              <w:rPr>
                <w:b/>
                <w:sz w:val="22"/>
              </w:rPr>
              <w:t xml:space="preserve">Total </w:t>
            </w:r>
          </w:p>
        </w:tc>
        <w:tc>
          <w:tcPr>
            <w:tcW w:w="1702" w:type="dxa"/>
            <w:tcBorders>
              <w:top w:val="single" w:sz="4" w:space="0" w:color="000000"/>
              <w:left w:val="single" w:sz="4" w:space="0" w:color="000000"/>
              <w:bottom w:val="single" w:sz="4" w:space="0" w:color="000000"/>
              <w:right w:val="single" w:sz="4" w:space="0" w:color="000000"/>
            </w:tcBorders>
            <w:vAlign w:val="bottom"/>
          </w:tcPr>
          <w:p w14:paraId="1801B6C6" w14:textId="77777777" w:rsidR="002C26E2" w:rsidRDefault="00812CB4">
            <w:pPr>
              <w:spacing w:after="0" w:line="259" w:lineRule="auto"/>
              <w:ind w:left="0" w:right="62" w:firstLine="0"/>
              <w:jc w:val="right"/>
            </w:pPr>
            <w:r>
              <w:rPr>
                <w:b/>
                <w:sz w:val="22"/>
              </w:rPr>
              <w:t xml:space="preserve">£377,588.54 </w:t>
            </w:r>
          </w:p>
        </w:tc>
        <w:tc>
          <w:tcPr>
            <w:tcW w:w="911" w:type="dxa"/>
            <w:tcBorders>
              <w:top w:val="single" w:sz="4" w:space="0" w:color="000000"/>
              <w:left w:val="single" w:sz="4" w:space="0" w:color="000000"/>
              <w:bottom w:val="single" w:sz="4" w:space="0" w:color="000000"/>
              <w:right w:val="nil"/>
            </w:tcBorders>
          </w:tcPr>
          <w:p w14:paraId="14CD862D" w14:textId="77777777" w:rsidR="002C26E2" w:rsidRDefault="002C26E2">
            <w:pPr>
              <w:spacing w:after="160" w:line="259" w:lineRule="auto"/>
              <w:ind w:left="0" w:firstLine="0"/>
            </w:pPr>
          </w:p>
        </w:tc>
        <w:tc>
          <w:tcPr>
            <w:tcW w:w="472" w:type="dxa"/>
            <w:tcBorders>
              <w:top w:val="single" w:sz="4" w:space="0" w:color="000000"/>
              <w:left w:val="nil"/>
              <w:bottom w:val="single" w:sz="4" w:space="0" w:color="000000"/>
              <w:right w:val="single" w:sz="4" w:space="0" w:color="000000"/>
            </w:tcBorders>
          </w:tcPr>
          <w:p w14:paraId="2BA12153" w14:textId="77777777" w:rsidR="002C26E2" w:rsidRDefault="002C26E2">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tcPr>
          <w:p w14:paraId="5F8830BC" w14:textId="77777777" w:rsidR="002C26E2" w:rsidRDefault="00812CB4">
            <w:pPr>
              <w:spacing w:after="107" w:line="259" w:lineRule="auto"/>
              <w:ind w:left="0" w:right="3" w:firstLine="0"/>
              <w:jc w:val="right"/>
            </w:pPr>
            <w:r>
              <w:rPr>
                <w:b/>
                <w:sz w:val="22"/>
              </w:rPr>
              <w:t xml:space="preserve"> </w:t>
            </w:r>
          </w:p>
          <w:p w14:paraId="06C2965C" w14:textId="77777777" w:rsidR="002C26E2" w:rsidRDefault="00812CB4">
            <w:pPr>
              <w:spacing w:after="0" w:line="259" w:lineRule="auto"/>
              <w:ind w:left="0" w:right="64" w:firstLine="0"/>
              <w:jc w:val="right"/>
            </w:pPr>
            <w:r>
              <w:rPr>
                <w:b/>
                <w:sz w:val="22"/>
              </w:rPr>
              <w:t xml:space="preserve">3,609 </w:t>
            </w:r>
          </w:p>
        </w:tc>
      </w:tr>
    </w:tbl>
    <w:p w14:paraId="431E0257" w14:textId="77777777" w:rsidR="002C26E2" w:rsidRDefault="00812CB4" w:rsidP="00444ECE">
      <w:pPr>
        <w:spacing w:before="240" w:line="259" w:lineRule="auto"/>
        <w:ind w:left="7" w:right="225"/>
      </w:pPr>
      <w:r>
        <w:t xml:space="preserve">In addition to these EP costs: </w:t>
      </w:r>
    </w:p>
    <w:p w14:paraId="714C998C" w14:textId="77777777" w:rsidR="002C26E2" w:rsidRDefault="00812CB4">
      <w:pPr>
        <w:spacing w:after="421"/>
        <w:ind w:left="725" w:right="225" w:hanging="355"/>
      </w:pPr>
      <w:r>
        <w:rPr>
          <w:rFonts w:ascii="Segoe UI Symbol" w:eastAsia="Segoe UI Symbol" w:hAnsi="Segoe UI Symbol" w:cs="Segoe UI Symbol"/>
          <w:sz w:val="20"/>
        </w:rPr>
        <w:t>•</w:t>
      </w:r>
      <w:r>
        <w:rPr>
          <w:sz w:val="20"/>
        </w:rPr>
        <w:t xml:space="preserve"> </w:t>
      </w:r>
      <w:r>
        <w:rPr>
          <w:sz w:val="20"/>
        </w:rPr>
        <w:tab/>
      </w:r>
      <w:r>
        <w:t xml:space="preserve">Barristers and King’s Counsel charged approximately </w:t>
      </w:r>
      <w:r>
        <w:rPr>
          <w:b/>
        </w:rPr>
        <w:t>£315,152</w:t>
      </w:r>
      <w:r>
        <w:t xml:space="preserve"> </w:t>
      </w:r>
      <w:r>
        <w:t xml:space="preserve">for viewing AV material outside EP, bringing the </w:t>
      </w:r>
      <w:r>
        <w:rPr>
          <w:b/>
        </w:rPr>
        <w:t>total Crown Court cost of AV review</w:t>
      </w:r>
      <w:r>
        <w:t xml:space="preserve"> to approximately </w:t>
      </w:r>
      <w:r>
        <w:rPr>
          <w:b/>
        </w:rPr>
        <w:t>£692,741</w:t>
      </w:r>
      <w:r>
        <w:t xml:space="preserve"> in 2025. </w:t>
      </w:r>
    </w:p>
    <w:p w14:paraId="22AB76D0" w14:textId="77777777" w:rsidR="002C26E2" w:rsidRDefault="00812CB4">
      <w:pPr>
        <w:pStyle w:val="Heading2"/>
        <w:ind w:left="849" w:right="200" w:hanging="852"/>
      </w:pPr>
      <w:bookmarkStart w:id="77" w:name="_Toc107615"/>
      <w:r>
        <w:rPr>
          <w:color w:val="004E9A"/>
          <w:sz w:val="28"/>
        </w:rPr>
        <w:t>R</w:t>
      </w:r>
      <w:r>
        <w:rPr>
          <w:color w:val="004E9A"/>
        </w:rPr>
        <w:t xml:space="preserve">EQUESTS MADE IN THE </w:t>
      </w:r>
      <w:r>
        <w:rPr>
          <w:color w:val="004E9A"/>
          <w:sz w:val="28"/>
        </w:rPr>
        <w:t>S</w:t>
      </w:r>
      <w:r>
        <w:rPr>
          <w:color w:val="004E9A"/>
        </w:rPr>
        <w:t>UBMISSIONS</w:t>
      </w:r>
      <w:r>
        <w:rPr>
          <w:color w:val="004E9A"/>
          <w:sz w:val="28"/>
        </w:rPr>
        <w:t xml:space="preserve"> </w:t>
      </w:r>
      <w:bookmarkEnd w:id="77"/>
    </w:p>
    <w:p w14:paraId="26F9D338" w14:textId="77777777" w:rsidR="002C26E2" w:rsidRDefault="00812CB4">
      <w:pPr>
        <w:spacing w:after="349" w:line="265" w:lineRule="auto"/>
        <w:ind w:left="7"/>
      </w:pPr>
      <w:r>
        <w:rPr>
          <w:u w:val="single" w:color="000000"/>
        </w:rPr>
        <w:t>SCBA position</w:t>
      </w:r>
      <w:r>
        <w:t xml:space="preserve"> </w:t>
      </w:r>
    </w:p>
    <w:p w14:paraId="5928D406" w14:textId="77777777" w:rsidR="002C26E2" w:rsidRDefault="00812CB4">
      <w:pPr>
        <w:ind w:left="7" w:right="225"/>
      </w:pPr>
      <w:r>
        <w:t xml:space="preserve">The SCBA submission states that solicitors are not currently paid for reviewing AV material and asserts that this work is time-consuming and essential. The SCBA requests that such work be remunerated at </w:t>
      </w:r>
      <w:r>
        <w:rPr>
          <w:b/>
        </w:rPr>
        <w:t>£225 per hour</w:t>
      </w:r>
      <w:r>
        <w:t xml:space="preserve">, consistent with its preferred solicitor hourly rate. </w:t>
      </w:r>
    </w:p>
    <w:p w14:paraId="0E5ACB5D" w14:textId="77777777" w:rsidR="002C26E2" w:rsidRDefault="00812CB4">
      <w:pPr>
        <w:spacing w:after="349" w:line="265" w:lineRule="auto"/>
        <w:ind w:left="7"/>
      </w:pPr>
      <w:r>
        <w:rPr>
          <w:u w:val="single" w:color="000000"/>
        </w:rPr>
        <w:t>Evidential basis that was advanced</w:t>
      </w:r>
      <w:r>
        <w:t xml:space="preserve"> </w:t>
      </w:r>
    </w:p>
    <w:p w14:paraId="4C3878D0" w14:textId="77777777" w:rsidR="002C26E2" w:rsidRDefault="00812CB4">
      <w:pPr>
        <w:spacing w:line="259" w:lineRule="auto"/>
        <w:ind w:left="7" w:right="225"/>
      </w:pPr>
      <w:r>
        <w:t xml:space="preserve">The SCBA request is advanced </w:t>
      </w:r>
      <w:proofErr w:type="gramStart"/>
      <w:r>
        <w:t>on the basis of</w:t>
      </w:r>
      <w:proofErr w:type="gramEnd"/>
      <w:r>
        <w:t xml:space="preserve">: </w:t>
      </w:r>
    </w:p>
    <w:p w14:paraId="2D7FAF16" w14:textId="77777777" w:rsidR="002C26E2" w:rsidRDefault="00812CB4">
      <w:pPr>
        <w:numPr>
          <w:ilvl w:val="0"/>
          <w:numId w:val="60"/>
        </w:numPr>
        <w:spacing w:line="259" w:lineRule="auto"/>
        <w:ind w:right="225" w:hanging="355"/>
      </w:pPr>
      <w:r>
        <w:t xml:space="preserve">broad equity arguments; and </w:t>
      </w:r>
    </w:p>
    <w:p w14:paraId="166CAB92" w14:textId="77777777" w:rsidR="002C26E2" w:rsidRDefault="00812CB4">
      <w:pPr>
        <w:numPr>
          <w:ilvl w:val="0"/>
          <w:numId w:val="60"/>
        </w:numPr>
        <w:spacing w:after="355" w:line="259" w:lineRule="auto"/>
        <w:ind w:right="225" w:hanging="355"/>
      </w:pPr>
      <w:r>
        <w:t xml:space="preserve">alignment with preferred hourly rates proposed elsewhere in its submission. </w:t>
      </w:r>
    </w:p>
    <w:p w14:paraId="61FECBF1" w14:textId="77777777" w:rsidR="002C26E2" w:rsidRDefault="00812CB4">
      <w:pPr>
        <w:spacing w:after="112"/>
        <w:ind w:left="7" w:right="225"/>
      </w:pPr>
      <w:r>
        <w:t xml:space="preserve">No time-based evidence or independently validated data was provided demonstrating: </w:t>
      </w:r>
    </w:p>
    <w:p w14:paraId="06E2B678" w14:textId="77777777" w:rsidR="002C26E2" w:rsidRDefault="00812CB4">
      <w:pPr>
        <w:numPr>
          <w:ilvl w:val="0"/>
          <w:numId w:val="60"/>
        </w:numPr>
        <w:spacing w:line="259" w:lineRule="auto"/>
        <w:ind w:right="225" w:hanging="355"/>
      </w:pPr>
      <w:r>
        <w:t xml:space="preserve">the average duration of AV review, or </w:t>
      </w:r>
    </w:p>
    <w:p w14:paraId="427ECBDF" w14:textId="77777777" w:rsidR="002C26E2" w:rsidRDefault="00812CB4">
      <w:pPr>
        <w:numPr>
          <w:ilvl w:val="0"/>
          <w:numId w:val="60"/>
        </w:numPr>
        <w:spacing w:after="355" w:line="259" w:lineRule="auto"/>
        <w:ind w:right="225" w:hanging="355"/>
      </w:pPr>
      <w:r>
        <w:t xml:space="preserve">how the requested hourly rate was derived. </w:t>
      </w:r>
    </w:p>
    <w:p w14:paraId="155FFF48" w14:textId="77777777" w:rsidR="002C26E2" w:rsidRDefault="00812CB4">
      <w:pPr>
        <w:spacing w:after="349" w:line="265" w:lineRule="auto"/>
        <w:ind w:left="7"/>
      </w:pPr>
      <w:r>
        <w:rPr>
          <w:u w:val="single" w:color="000000"/>
        </w:rPr>
        <w:t>Nature of AV review work</w:t>
      </w:r>
      <w:r>
        <w:t xml:space="preserve"> </w:t>
      </w:r>
    </w:p>
    <w:p w14:paraId="1ED13BC2" w14:textId="77777777" w:rsidR="002C26E2" w:rsidRDefault="00812CB4">
      <w:pPr>
        <w:ind w:left="7" w:right="225"/>
      </w:pPr>
      <w:r>
        <w:t xml:space="preserve">As with consultations and PPE reading, the Review Team finds that </w:t>
      </w:r>
      <w:r>
        <w:rPr>
          <w:b/>
        </w:rPr>
        <w:t>Exceptional Preparation is being used as the principal mechanism</w:t>
      </w:r>
      <w:r>
        <w:t xml:space="preserve"> to remunerate AV review work by solicitors and, to a lesser extent, counsel. </w:t>
      </w:r>
    </w:p>
    <w:p w14:paraId="5BEE49B5" w14:textId="77777777" w:rsidR="002C26E2" w:rsidRDefault="00812CB4">
      <w:pPr>
        <w:spacing w:line="259" w:lineRule="auto"/>
        <w:ind w:left="7" w:right="225"/>
      </w:pPr>
      <w:r>
        <w:t xml:space="preserve">This reliance: </w:t>
      </w:r>
    </w:p>
    <w:p w14:paraId="5F8E827D" w14:textId="77777777" w:rsidR="002C26E2" w:rsidRDefault="00812CB4">
      <w:pPr>
        <w:numPr>
          <w:ilvl w:val="0"/>
          <w:numId w:val="60"/>
        </w:numPr>
        <w:spacing w:line="259" w:lineRule="auto"/>
        <w:ind w:right="225" w:hanging="355"/>
      </w:pPr>
      <w:r>
        <w:t xml:space="preserve">introduces administrative burden, </w:t>
      </w:r>
    </w:p>
    <w:p w14:paraId="7930D82A" w14:textId="77777777" w:rsidR="002C26E2" w:rsidRDefault="00812CB4">
      <w:pPr>
        <w:numPr>
          <w:ilvl w:val="0"/>
          <w:numId w:val="60"/>
        </w:numPr>
        <w:spacing w:line="259" w:lineRule="auto"/>
        <w:ind w:right="225" w:hanging="355"/>
      </w:pPr>
      <w:r>
        <w:t xml:space="preserve">obscures the true cost of AV review, and </w:t>
      </w:r>
    </w:p>
    <w:p w14:paraId="61E1AC88" w14:textId="77777777" w:rsidR="002C26E2" w:rsidRDefault="00812CB4">
      <w:pPr>
        <w:numPr>
          <w:ilvl w:val="0"/>
          <w:numId w:val="60"/>
        </w:numPr>
        <w:spacing w:after="357" w:line="259" w:lineRule="auto"/>
        <w:ind w:right="225" w:hanging="355"/>
      </w:pPr>
      <w:r>
        <w:t xml:space="preserve">results in inconsistent treatment depending on how claims are framed. </w:t>
      </w:r>
    </w:p>
    <w:p w14:paraId="29A4BF30" w14:textId="77777777" w:rsidR="002C26E2" w:rsidRDefault="00812CB4">
      <w:pPr>
        <w:spacing w:after="116"/>
        <w:ind w:left="7" w:right="225"/>
      </w:pPr>
      <w:r>
        <w:t xml:space="preserve">The Review Team considers that reviewing AV material is, in substance, </w:t>
      </w:r>
      <w:r>
        <w:rPr>
          <w:b/>
        </w:rPr>
        <w:t>analogous to reading documentary material</w:t>
      </w:r>
      <w:r>
        <w:t xml:space="preserve">: </w:t>
      </w:r>
    </w:p>
    <w:p w14:paraId="30476FDA" w14:textId="77777777" w:rsidR="002C26E2" w:rsidRDefault="00812CB4">
      <w:pPr>
        <w:numPr>
          <w:ilvl w:val="0"/>
          <w:numId w:val="60"/>
        </w:numPr>
        <w:spacing w:line="259" w:lineRule="auto"/>
        <w:ind w:right="225" w:hanging="355"/>
      </w:pPr>
      <w:r>
        <w:t xml:space="preserve">it is preparatory work, </w:t>
      </w:r>
    </w:p>
    <w:p w14:paraId="3F9AC8C0" w14:textId="77777777" w:rsidR="002C26E2" w:rsidRDefault="00812CB4">
      <w:pPr>
        <w:numPr>
          <w:ilvl w:val="0"/>
          <w:numId w:val="60"/>
        </w:numPr>
        <w:spacing w:line="259" w:lineRule="auto"/>
        <w:ind w:right="225" w:hanging="355"/>
      </w:pPr>
      <w:r>
        <w:t xml:space="preserve">it involves structured examination of evidence, </w:t>
      </w:r>
    </w:p>
    <w:p w14:paraId="30143D53" w14:textId="77777777" w:rsidR="002C26E2" w:rsidRDefault="00812CB4">
      <w:pPr>
        <w:numPr>
          <w:ilvl w:val="0"/>
          <w:numId w:val="60"/>
        </w:numPr>
        <w:spacing w:after="355" w:line="259" w:lineRule="auto"/>
        <w:ind w:right="225" w:hanging="355"/>
      </w:pPr>
      <w:r>
        <w:t xml:space="preserve">and it does not generally require advocacy or higher-order legal analysis. </w:t>
      </w:r>
    </w:p>
    <w:p w14:paraId="13816F3F" w14:textId="77777777" w:rsidR="002C26E2" w:rsidRDefault="00812CB4">
      <w:pPr>
        <w:spacing w:after="423"/>
        <w:ind w:left="7" w:right="225"/>
      </w:pPr>
      <w:r>
        <w:t xml:space="preserve">Accordingly, there is no compelling rationale for remunerating AV review at materially different rates from sustained PPE reading. </w:t>
      </w:r>
    </w:p>
    <w:p w14:paraId="67959269" w14:textId="77777777" w:rsidR="002C26E2" w:rsidRDefault="00812CB4">
      <w:pPr>
        <w:pStyle w:val="Heading2"/>
        <w:ind w:left="849" w:right="200" w:hanging="852"/>
      </w:pPr>
      <w:bookmarkStart w:id="78" w:name="_Toc107616"/>
      <w:r>
        <w:rPr>
          <w:color w:val="004E9A"/>
          <w:sz w:val="28"/>
        </w:rPr>
        <w:t>A</w:t>
      </w:r>
      <w:r>
        <w:rPr>
          <w:color w:val="004E9A"/>
        </w:rPr>
        <w:t>LTERNATIVE REMUNERATION APPROACH</w:t>
      </w:r>
      <w:r>
        <w:rPr>
          <w:color w:val="004E9A"/>
          <w:sz w:val="28"/>
        </w:rPr>
        <w:t xml:space="preserve"> </w:t>
      </w:r>
      <w:bookmarkEnd w:id="78"/>
    </w:p>
    <w:p w14:paraId="701EADC5" w14:textId="77777777" w:rsidR="002C26E2" w:rsidRDefault="00812CB4">
      <w:pPr>
        <w:spacing w:after="349" w:line="265" w:lineRule="auto"/>
        <w:ind w:left="7"/>
      </w:pPr>
      <w:r>
        <w:rPr>
          <w:u w:val="single" w:color="000000"/>
        </w:rPr>
        <w:t>Alignment with PPE reading methodology</w:t>
      </w:r>
      <w:r>
        <w:t xml:space="preserve"> </w:t>
      </w:r>
    </w:p>
    <w:p w14:paraId="63FD406C" w14:textId="77777777" w:rsidR="002C26E2" w:rsidRDefault="00812CB4">
      <w:pPr>
        <w:spacing w:after="112"/>
        <w:ind w:left="7" w:right="225"/>
      </w:pPr>
      <w:r>
        <w:t xml:space="preserve">Elsewhere in this report, the Review Team has established an evidence-based methodology for remunerating PPE reading, using: </w:t>
      </w:r>
    </w:p>
    <w:p w14:paraId="059D51C5" w14:textId="77777777" w:rsidR="002C26E2" w:rsidRDefault="00812CB4">
      <w:pPr>
        <w:numPr>
          <w:ilvl w:val="0"/>
          <w:numId w:val="61"/>
        </w:numPr>
        <w:spacing w:line="259" w:lineRule="auto"/>
        <w:ind w:right="225" w:hanging="355"/>
      </w:pPr>
      <w:r>
        <w:t xml:space="preserve">an assumed average reading speed of </w:t>
      </w:r>
      <w:r>
        <w:rPr>
          <w:b/>
        </w:rPr>
        <w:t>30 pages per hour</w:t>
      </w:r>
      <w:r>
        <w:t xml:space="preserve">, and </w:t>
      </w:r>
    </w:p>
    <w:p w14:paraId="7F56A092" w14:textId="77777777" w:rsidR="002C26E2" w:rsidRDefault="00812CB4">
      <w:pPr>
        <w:numPr>
          <w:ilvl w:val="0"/>
          <w:numId w:val="61"/>
        </w:numPr>
        <w:spacing w:line="259" w:lineRule="auto"/>
        <w:ind w:right="225" w:hanging="355"/>
      </w:pPr>
      <w:r>
        <w:t xml:space="preserve">a per-page rate of </w:t>
      </w:r>
      <w:r>
        <w:rPr>
          <w:b/>
        </w:rPr>
        <w:t>£2.32</w:t>
      </w:r>
      <w:r>
        <w:t xml:space="preserve">. </w:t>
      </w:r>
    </w:p>
    <w:p w14:paraId="395AEF1C" w14:textId="77777777" w:rsidR="002C26E2" w:rsidRDefault="00812CB4">
      <w:pPr>
        <w:ind w:left="7" w:right="225"/>
      </w:pPr>
      <w:r>
        <w:t xml:space="preserve">Applying the same conceptual approach to AV review results in an implied hourly rate of </w:t>
      </w:r>
      <w:r>
        <w:rPr>
          <w:b/>
        </w:rPr>
        <w:t>£69.60</w:t>
      </w:r>
      <w:r>
        <w:t xml:space="preserve">, rounded to </w:t>
      </w:r>
      <w:r>
        <w:rPr>
          <w:b/>
        </w:rPr>
        <w:t>£70 per hour</w:t>
      </w:r>
      <w:r>
        <w:t xml:space="preserve">. </w:t>
      </w:r>
    </w:p>
    <w:p w14:paraId="7093D890" w14:textId="77777777" w:rsidR="002C26E2" w:rsidRDefault="00812CB4">
      <w:pPr>
        <w:spacing w:after="349" w:line="265" w:lineRule="auto"/>
        <w:ind w:left="7"/>
      </w:pPr>
      <w:r>
        <w:rPr>
          <w:b/>
        </w:rPr>
        <w:t xml:space="preserve">Cost modelling </w:t>
      </w:r>
    </w:p>
    <w:p w14:paraId="72E812E2" w14:textId="77777777" w:rsidR="002C26E2" w:rsidRDefault="00812CB4">
      <w:pPr>
        <w:ind w:left="7" w:right="225"/>
      </w:pPr>
      <w:r>
        <w:t xml:space="preserve">Using historic EP claim data and estimated hours, the Review Team modelled the financial impact of introducing a discrete </w:t>
      </w:r>
      <w:r>
        <w:rPr>
          <w:b/>
        </w:rPr>
        <w:t>£70 per hour AV review rate</w:t>
      </w:r>
      <w:r>
        <w:t xml:space="preserve"> for solicitors, in lieu of EP. </w:t>
      </w:r>
    </w:p>
    <w:p w14:paraId="4C294AA2" w14:textId="77777777" w:rsidR="002C26E2" w:rsidRDefault="00812CB4">
      <w:pPr>
        <w:spacing w:line="259" w:lineRule="auto"/>
        <w:ind w:left="7" w:right="225"/>
      </w:pPr>
      <w:r>
        <w:t xml:space="preserve">The modelling indicates: </w:t>
      </w:r>
    </w:p>
    <w:p w14:paraId="6720FD4B" w14:textId="77777777" w:rsidR="002C26E2" w:rsidRDefault="00812CB4">
      <w:pPr>
        <w:numPr>
          <w:ilvl w:val="0"/>
          <w:numId w:val="61"/>
        </w:numPr>
        <w:spacing w:after="112"/>
        <w:ind w:right="225" w:hanging="355"/>
      </w:pPr>
      <w:r>
        <w:t xml:space="preserve">an estimated annual cost of approximately </w:t>
      </w:r>
      <w:r>
        <w:rPr>
          <w:b/>
        </w:rPr>
        <w:t>£248,780</w:t>
      </w:r>
      <w:r>
        <w:t xml:space="preserve"> for solicitor AV review work; and </w:t>
      </w:r>
    </w:p>
    <w:p w14:paraId="77A21B48" w14:textId="77777777" w:rsidR="002C26E2" w:rsidRDefault="00812CB4">
      <w:pPr>
        <w:numPr>
          <w:ilvl w:val="0"/>
          <w:numId w:val="61"/>
        </w:numPr>
        <w:spacing w:after="0" w:line="259" w:lineRule="auto"/>
        <w:ind w:right="225" w:hanging="355"/>
      </w:pPr>
      <w:r>
        <w:t xml:space="preserve">potential offsetting savings arising from the removal of EP claims for this category of work. </w:t>
      </w:r>
    </w:p>
    <w:tbl>
      <w:tblPr>
        <w:tblStyle w:val="TableGrid"/>
        <w:tblW w:w="8226" w:type="dxa"/>
        <w:tblInd w:w="18" w:type="dxa"/>
        <w:tblCellMar>
          <w:top w:w="46" w:type="dxa"/>
          <w:left w:w="0" w:type="dxa"/>
          <w:bottom w:w="167" w:type="dxa"/>
          <w:right w:w="25" w:type="dxa"/>
        </w:tblCellMar>
        <w:tblLook w:val="04A0" w:firstRow="1" w:lastRow="0" w:firstColumn="1" w:lastColumn="0" w:noHBand="0" w:noVBand="1"/>
      </w:tblPr>
      <w:tblGrid>
        <w:gridCol w:w="2404"/>
        <w:gridCol w:w="1853"/>
        <w:gridCol w:w="1985"/>
        <w:gridCol w:w="1984"/>
      </w:tblGrid>
      <w:tr w:rsidR="002C26E2" w14:paraId="67A7609C" w14:textId="77777777">
        <w:trPr>
          <w:trHeight w:val="514"/>
        </w:trPr>
        <w:tc>
          <w:tcPr>
            <w:tcW w:w="2404" w:type="dxa"/>
            <w:tcBorders>
              <w:top w:val="single" w:sz="4" w:space="0" w:color="000000"/>
              <w:left w:val="single" w:sz="4" w:space="0" w:color="000000"/>
              <w:bottom w:val="single" w:sz="4" w:space="0" w:color="000000"/>
              <w:right w:val="single" w:sz="4" w:space="0" w:color="000000"/>
            </w:tcBorders>
            <w:shd w:val="clear" w:color="auto" w:fill="424996"/>
          </w:tcPr>
          <w:p w14:paraId="20FD8EB9" w14:textId="77777777" w:rsidR="002C26E2" w:rsidRDefault="00812CB4">
            <w:pPr>
              <w:spacing w:after="0" w:line="259" w:lineRule="auto"/>
              <w:ind w:left="107" w:firstLine="0"/>
            </w:pPr>
            <w:r>
              <w:rPr>
                <w:color w:val="FFFFFF"/>
                <w:sz w:val="20"/>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424996"/>
          </w:tcPr>
          <w:p w14:paraId="3A590289" w14:textId="77777777" w:rsidR="002C26E2" w:rsidRDefault="00812CB4">
            <w:pPr>
              <w:spacing w:after="0" w:line="259" w:lineRule="auto"/>
              <w:ind w:left="108" w:firstLine="0"/>
            </w:pPr>
            <w:r>
              <w:rPr>
                <w:color w:val="FFFFFF"/>
                <w:sz w:val="20"/>
              </w:rPr>
              <w:t xml:space="preserve">Estimated Hours </w:t>
            </w:r>
          </w:p>
        </w:tc>
        <w:tc>
          <w:tcPr>
            <w:tcW w:w="1985" w:type="dxa"/>
            <w:tcBorders>
              <w:top w:val="single" w:sz="4" w:space="0" w:color="000000"/>
              <w:left w:val="single" w:sz="4" w:space="0" w:color="000000"/>
              <w:bottom w:val="single" w:sz="4" w:space="0" w:color="000000"/>
              <w:right w:val="single" w:sz="4" w:space="0" w:color="000000"/>
            </w:tcBorders>
            <w:shd w:val="clear" w:color="auto" w:fill="424996"/>
          </w:tcPr>
          <w:p w14:paraId="03C30582" w14:textId="77777777" w:rsidR="002C26E2" w:rsidRDefault="00812CB4">
            <w:pPr>
              <w:spacing w:after="0" w:line="259" w:lineRule="auto"/>
              <w:ind w:left="108" w:firstLine="0"/>
            </w:pPr>
            <w:r>
              <w:rPr>
                <w:color w:val="FFFFFF"/>
                <w:sz w:val="20"/>
              </w:rPr>
              <w:t xml:space="preserve">Hourly Rate </w:t>
            </w:r>
          </w:p>
        </w:tc>
        <w:tc>
          <w:tcPr>
            <w:tcW w:w="1984" w:type="dxa"/>
            <w:tcBorders>
              <w:top w:val="single" w:sz="4" w:space="0" w:color="000000"/>
              <w:left w:val="single" w:sz="4" w:space="0" w:color="000000"/>
              <w:bottom w:val="single" w:sz="4" w:space="0" w:color="000000"/>
              <w:right w:val="single" w:sz="4" w:space="0" w:color="000000"/>
            </w:tcBorders>
            <w:shd w:val="clear" w:color="auto" w:fill="424996"/>
          </w:tcPr>
          <w:p w14:paraId="6BB7077E" w14:textId="77777777" w:rsidR="002C26E2" w:rsidRDefault="00812CB4">
            <w:pPr>
              <w:spacing w:after="0" w:line="259" w:lineRule="auto"/>
              <w:ind w:left="108" w:firstLine="0"/>
            </w:pPr>
            <w:r>
              <w:rPr>
                <w:color w:val="FFFFFF"/>
                <w:sz w:val="20"/>
              </w:rPr>
              <w:t xml:space="preserve">Estimated Cost </w:t>
            </w:r>
          </w:p>
        </w:tc>
      </w:tr>
      <w:tr w:rsidR="002C26E2" w14:paraId="7E4A8972" w14:textId="77777777" w:rsidTr="00444ECE">
        <w:trPr>
          <w:trHeight w:val="569"/>
        </w:trPr>
        <w:tc>
          <w:tcPr>
            <w:tcW w:w="2404" w:type="dxa"/>
            <w:tcBorders>
              <w:top w:val="single" w:sz="4" w:space="0" w:color="000000"/>
              <w:left w:val="single" w:sz="4" w:space="0" w:color="000000"/>
              <w:bottom w:val="single" w:sz="4" w:space="0" w:color="000000"/>
              <w:right w:val="single" w:sz="4" w:space="0" w:color="000000"/>
            </w:tcBorders>
          </w:tcPr>
          <w:p w14:paraId="1B3239FC" w14:textId="77777777" w:rsidR="002C26E2" w:rsidRDefault="00812CB4">
            <w:pPr>
              <w:spacing w:after="96" w:line="259" w:lineRule="auto"/>
              <w:ind w:left="107" w:firstLine="0"/>
            </w:pPr>
            <w:r>
              <w:rPr>
                <w:sz w:val="20"/>
              </w:rPr>
              <w:t xml:space="preserve">Exceptional Preparation </w:t>
            </w:r>
          </w:p>
          <w:p w14:paraId="70E72EF1" w14:textId="77777777" w:rsidR="002C26E2" w:rsidRDefault="00812CB4">
            <w:pPr>
              <w:spacing w:after="99" w:line="259" w:lineRule="auto"/>
              <w:ind w:left="107" w:firstLine="0"/>
            </w:pPr>
            <w:r>
              <w:rPr>
                <w:sz w:val="20"/>
              </w:rPr>
              <w:t xml:space="preserve">(Apprentice) - Viewing </w:t>
            </w:r>
          </w:p>
          <w:p w14:paraId="7000CECE" w14:textId="77777777" w:rsidR="002C26E2" w:rsidRDefault="00812CB4">
            <w:pPr>
              <w:spacing w:after="0" w:line="259" w:lineRule="auto"/>
              <w:ind w:left="107" w:firstLine="0"/>
            </w:pPr>
            <w:r>
              <w:rPr>
                <w:sz w:val="20"/>
              </w:rPr>
              <w:t xml:space="preserve">CCTV </w:t>
            </w:r>
          </w:p>
        </w:tc>
        <w:tc>
          <w:tcPr>
            <w:tcW w:w="1853" w:type="dxa"/>
            <w:tcBorders>
              <w:top w:val="single" w:sz="4" w:space="0" w:color="000000"/>
              <w:left w:val="single" w:sz="4" w:space="0" w:color="000000"/>
              <w:bottom w:val="single" w:sz="4" w:space="0" w:color="000000"/>
              <w:right w:val="single" w:sz="4" w:space="0" w:color="000000"/>
            </w:tcBorders>
            <w:vAlign w:val="center"/>
          </w:tcPr>
          <w:p w14:paraId="36AADF92" w14:textId="2D6B2607" w:rsidR="002C26E2" w:rsidRPr="00444ECE" w:rsidRDefault="00812CB4" w:rsidP="00444ECE">
            <w:pPr>
              <w:spacing w:after="0" w:line="259" w:lineRule="auto"/>
              <w:jc w:val="center"/>
              <w:rPr>
                <w:sz w:val="20"/>
              </w:rPr>
            </w:pPr>
            <w:r>
              <w:rPr>
                <w:sz w:val="20"/>
              </w:rPr>
              <w:t>752</w:t>
            </w:r>
          </w:p>
        </w:tc>
        <w:tc>
          <w:tcPr>
            <w:tcW w:w="1985" w:type="dxa"/>
            <w:tcBorders>
              <w:top w:val="single" w:sz="4" w:space="0" w:color="000000"/>
              <w:left w:val="single" w:sz="4" w:space="0" w:color="000000"/>
              <w:bottom w:val="single" w:sz="4" w:space="0" w:color="000000"/>
              <w:right w:val="single" w:sz="4" w:space="0" w:color="000000"/>
            </w:tcBorders>
            <w:vAlign w:val="center"/>
          </w:tcPr>
          <w:p w14:paraId="12EF0A02" w14:textId="029E9F55" w:rsidR="002C26E2" w:rsidRPr="00444ECE" w:rsidRDefault="00812CB4" w:rsidP="00444ECE">
            <w:pPr>
              <w:spacing w:after="0" w:line="259" w:lineRule="auto"/>
              <w:jc w:val="center"/>
              <w:rPr>
                <w:sz w:val="20"/>
              </w:rPr>
            </w:pPr>
            <w:r>
              <w:rPr>
                <w:sz w:val="20"/>
              </w:rPr>
              <w:t>£70</w:t>
            </w:r>
          </w:p>
        </w:tc>
        <w:tc>
          <w:tcPr>
            <w:tcW w:w="1984" w:type="dxa"/>
            <w:tcBorders>
              <w:top w:val="single" w:sz="4" w:space="0" w:color="000000"/>
              <w:left w:val="single" w:sz="4" w:space="0" w:color="000000"/>
              <w:bottom w:val="single" w:sz="4" w:space="0" w:color="000000"/>
              <w:right w:val="single" w:sz="4" w:space="0" w:color="000000"/>
            </w:tcBorders>
            <w:vAlign w:val="center"/>
          </w:tcPr>
          <w:p w14:paraId="2AE7162D" w14:textId="1A53299E" w:rsidR="002C26E2" w:rsidRPr="00444ECE" w:rsidRDefault="00812CB4" w:rsidP="00444ECE">
            <w:pPr>
              <w:spacing w:after="0" w:line="259" w:lineRule="auto"/>
              <w:jc w:val="center"/>
              <w:rPr>
                <w:sz w:val="20"/>
              </w:rPr>
            </w:pPr>
            <w:r>
              <w:rPr>
                <w:sz w:val="20"/>
              </w:rPr>
              <w:t>£52,640</w:t>
            </w:r>
          </w:p>
        </w:tc>
      </w:tr>
      <w:tr w:rsidR="002C26E2" w14:paraId="32979C63" w14:textId="77777777" w:rsidTr="00444ECE">
        <w:trPr>
          <w:trHeight w:val="529"/>
        </w:trPr>
        <w:tc>
          <w:tcPr>
            <w:tcW w:w="2404" w:type="dxa"/>
            <w:tcBorders>
              <w:top w:val="single" w:sz="4" w:space="0" w:color="000000"/>
              <w:left w:val="single" w:sz="4" w:space="0" w:color="000000"/>
              <w:bottom w:val="single" w:sz="4" w:space="0" w:color="000000"/>
              <w:right w:val="single" w:sz="4" w:space="0" w:color="000000"/>
            </w:tcBorders>
          </w:tcPr>
          <w:p w14:paraId="0C87D719" w14:textId="77777777" w:rsidR="002C26E2" w:rsidRDefault="00812CB4">
            <w:pPr>
              <w:spacing w:after="98" w:line="259" w:lineRule="auto"/>
              <w:ind w:left="107" w:firstLine="0"/>
            </w:pPr>
            <w:r>
              <w:rPr>
                <w:sz w:val="20"/>
              </w:rPr>
              <w:t xml:space="preserve">Exceptional Preparation </w:t>
            </w:r>
          </w:p>
          <w:p w14:paraId="52539726" w14:textId="77777777" w:rsidR="002C26E2" w:rsidRDefault="00812CB4">
            <w:pPr>
              <w:spacing w:after="96" w:line="259" w:lineRule="auto"/>
              <w:ind w:left="107" w:firstLine="0"/>
            </w:pPr>
            <w:r>
              <w:rPr>
                <w:sz w:val="20"/>
              </w:rPr>
              <w:t xml:space="preserve">(Senior Solicitor) - </w:t>
            </w:r>
          </w:p>
          <w:p w14:paraId="6BDA6811" w14:textId="77777777" w:rsidR="002C26E2" w:rsidRDefault="00812CB4">
            <w:pPr>
              <w:spacing w:after="0" w:line="259" w:lineRule="auto"/>
              <w:ind w:left="107" w:firstLine="0"/>
            </w:pPr>
            <w:r>
              <w:rPr>
                <w:sz w:val="20"/>
              </w:rPr>
              <w:t xml:space="preserve">Viewing CCTV </w:t>
            </w:r>
          </w:p>
        </w:tc>
        <w:tc>
          <w:tcPr>
            <w:tcW w:w="1853" w:type="dxa"/>
            <w:tcBorders>
              <w:top w:val="single" w:sz="4" w:space="0" w:color="000000"/>
              <w:left w:val="single" w:sz="4" w:space="0" w:color="000000"/>
              <w:bottom w:val="single" w:sz="4" w:space="0" w:color="000000"/>
              <w:right w:val="single" w:sz="4" w:space="0" w:color="000000"/>
            </w:tcBorders>
            <w:vAlign w:val="center"/>
          </w:tcPr>
          <w:p w14:paraId="3F6BD16C" w14:textId="22C711F0" w:rsidR="002C26E2" w:rsidRPr="00444ECE" w:rsidRDefault="00812CB4" w:rsidP="00444ECE">
            <w:pPr>
              <w:spacing w:after="0" w:line="259" w:lineRule="auto"/>
              <w:jc w:val="center"/>
              <w:rPr>
                <w:sz w:val="20"/>
              </w:rPr>
            </w:pPr>
            <w:r>
              <w:rPr>
                <w:sz w:val="20"/>
              </w:rPr>
              <w:t>2,058</w:t>
            </w:r>
          </w:p>
        </w:tc>
        <w:tc>
          <w:tcPr>
            <w:tcW w:w="1985" w:type="dxa"/>
            <w:tcBorders>
              <w:top w:val="single" w:sz="4" w:space="0" w:color="000000"/>
              <w:left w:val="single" w:sz="4" w:space="0" w:color="000000"/>
              <w:bottom w:val="single" w:sz="4" w:space="0" w:color="000000"/>
              <w:right w:val="single" w:sz="4" w:space="0" w:color="000000"/>
            </w:tcBorders>
            <w:vAlign w:val="center"/>
          </w:tcPr>
          <w:p w14:paraId="1844E44F" w14:textId="03704C8D" w:rsidR="002C26E2" w:rsidRPr="00444ECE" w:rsidRDefault="00812CB4" w:rsidP="00444ECE">
            <w:pPr>
              <w:spacing w:after="0" w:line="259" w:lineRule="auto"/>
              <w:jc w:val="center"/>
              <w:rPr>
                <w:sz w:val="20"/>
              </w:rPr>
            </w:pPr>
            <w:r>
              <w:rPr>
                <w:sz w:val="20"/>
              </w:rPr>
              <w:t>£</w:t>
            </w:r>
            <w:r>
              <w:rPr>
                <w:sz w:val="20"/>
              </w:rPr>
              <w:t>70</w:t>
            </w:r>
          </w:p>
        </w:tc>
        <w:tc>
          <w:tcPr>
            <w:tcW w:w="1984" w:type="dxa"/>
            <w:tcBorders>
              <w:top w:val="single" w:sz="4" w:space="0" w:color="000000"/>
              <w:left w:val="single" w:sz="4" w:space="0" w:color="000000"/>
              <w:bottom w:val="single" w:sz="4" w:space="0" w:color="000000"/>
              <w:right w:val="single" w:sz="4" w:space="0" w:color="000000"/>
            </w:tcBorders>
            <w:vAlign w:val="center"/>
          </w:tcPr>
          <w:p w14:paraId="207138AA" w14:textId="06355F8B" w:rsidR="002C26E2" w:rsidRPr="00444ECE" w:rsidRDefault="00812CB4" w:rsidP="00444ECE">
            <w:pPr>
              <w:spacing w:after="0" w:line="259" w:lineRule="auto"/>
              <w:jc w:val="center"/>
              <w:rPr>
                <w:sz w:val="20"/>
              </w:rPr>
            </w:pPr>
            <w:r>
              <w:rPr>
                <w:sz w:val="20"/>
              </w:rPr>
              <w:t>£144,060</w:t>
            </w:r>
          </w:p>
        </w:tc>
      </w:tr>
      <w:tr w:rsidR="002C26E2" w14:paraId="5E0D211D" w14:textId="77777777" w:rsidTr="00444ECE">
        <w:trPr>
          <w:trHeight w:val="1205"/>
        </w:trPr>
        <w:tc>
          <w:tcPr>
            <w:tcW w:w="2404" w:type="dxa"/>
            <w:tcBorders>
              <w:top w:val="single" w:sz="4" w:space="0" w:color="000000"/>
              <w:left w:val="single" w:sz="4" w:space="0" w:color="000000"/>
              <w:bottom w:val="single" w:sz="4" w:space="0" w:color="000000"/>
              <w:right w:val="single" w:sz="4" w:space="0" w:color="000000"/>
            </w:tcBorders>
          </w:tcPr>
          <w:p w14:paraId="7D575881" w14:textId="77777777" w:rsidR="002C26E2" w:rsidRDefault="00812CB4">
            <w:pPr>
              <w:spacing w:after="98" w:line="259" w:lineRule="auto"/>
              <w:ind w:left="107" w:firstLine="0"/>
            </w:pPr>
            <w:r>
              <w:rPr>
                <w:sz w:val="20"/>
              </w:rPr>
              <w:t xml:space="preserve">Exceptional Preparation </w:t>
            </w:r>
          </w:p>
          <w:p w14:paraId="1AEB4533" w14:textId="77777777" w:rsidR="002C26E2" w:rsidRDefault="00812CB4">
            <w:pPr>
              <w:spacing w:after="96" w:line="259" w:lineRule="auto"/>
              <w:ind w:left="107" w:firstLine="0"/>
            </w:pPr>
            <w:r>
              <w:rPr>
                <w:sz w:val="20"/>
              </w:rPr>
              <w:t xml:space="preserve">(Solicitor) - Viewing </w:t>
            </w:r>
          </w:p>
          <w:p w14:paraId="4ECA8493" w14:textId="77777777" w:rsidR="002C26E2" w:rsidRDefault="00812CB4">
            <w:pPr>
              <w:spacing w:after="0" w:line="259" w:lineRule="auto"/>
              <w:ind w:left="107" w:firstLine="0"/>
            </w:pPr>
            <w:r>
              <w:rPr>
                <w:sz w:val="20"/>
              </w:rPr>
              <w:t xml:space="preserve">CCTV </w:t>
            </w:r>
          </w:p>
        </w:tc>
        <w:tc>
          <w:tcPr>
            <w:tcW w:w="1853" w:type="dxa"/>
            <w:tcBorders>
              <w:top w:val="single" w:sz="4" w:space="0" w:color="000000"/>
              <w:left w:val="single" w:sz="4" w:space="0" w:color="000000"/>
              <w:bottom w:val="single" w:sz="4" w:space="0" w:color="000000"/>
              <w:right w:val="single" w:sz="4" w:space="0" w:color="000000"/>
            </w:tcBorders>
            <w:vAlign w:val="center"/>
          </w:tcPr>
          <w:p w14:paraId="57B05B3D" w14:textId="489F1251" w:rsidR="002C26E2" w:rsidRPr="00444ECE" w:rsidRDefault="00812CB4" w:rsidP="00444ECE">
            <w:pPr>
              <w:spacing w:after="0" w:line="259" w:lineRule="auto"/>
              <w:jc w:val="center"/>
              <w:rPr>
                <w:sz w:val="20"/>
              </w:rPr>
            </w:pPr>
            <w:r>
              <w:rPr>
                <w:sz w:val="20"/>
              </w:rPr>
              <w:t>744</w:t>
            </w:r>
          </w:p>
        </w:tc>
        <w:tc>
          <w:tcPr>
            <w:tcW w:w="1985" w:type="dxa"/>
            <w:tcBorders>
              <w:top w:val="single" w:sz="4" w:space="0" w:color="000000"/>
              <w:left w:val="single" w:sz="4" w:space="0" w:color="000000"/>
              <w:bottom w:val="single" w:sz="4" w:space="0" w:color="000000"/>
              <w:right w:val="single" w:sz="4" w:space="0" w:color="000000"/>
            </w:tcBorders>
            <w:vAlign w:val="center"/>
          </w:tcPr>
          <w:p w14:paraId="1A415230" w14:textId="198E7775" w:rsidR="002C26E2" w:rsidRPr="00444ECE" w:rsidRDefault="00812CB4" w:rsidP="00444ECE">
            <w:pPr>
              <w:spacing w:after="0" w:line="259" w:lineRule="auto"/>
              <w:jc w:val="center"/>
              <w:rPr>
                <w:sz w:val="20"/>
              </w:rPr>
            </w:pPr>
            <w:r>
              <w:rPr>
                <w:sz w:val="20"/>
              </w:rPr>
              <w:t>£70</w:t>
            </w:r>
          </w:p>
        </w:tc>
        <w:tc>
          <w:tcPr>
            <w:tcW w:w="1984" w:type="dxa"/>
            <w:tcBorders>
              <w:top w:val="single" w:sz="4" w:space="0" w:color="000000"/>
              <w:left w:val="single" w:sz="4" w:space="0" w:color="000000"/>
              <w:bottom w:val="single" w:sz="4" w:space="0" w:color="000000"/>
              <w:right w:val="single" w:sz="4" w:space="0" w:color="000000"/>
            </w:tcBorders>
            <w:vAlign w:val="center"/>
          </w:tcPr>
          <w:p w14:paraId="69D2FBA7" w14:textId="04500639" w:rsidR="002C26E2" w:rsidRPr="00444ECE" w:rsidRDefault="00812CB4" w:rsidP="00444ECE">
            <w:pPr>
              <w:spacing w:after="0" w:line="259" w:lineRule="auto"/>
              <w:jc w:val="center"/>
              <w:rPr>
                <w:sz w:val="20"/>
              </w:rPr>
            </w:pPr>
            <w:r>
              <w:rPr>
                <w:sz w:val="20"/>
              </w:rPr>
              <w:t>£52,080</w:t>
            </w:r>
          </w:p>
        </w:tc>
      </w:tr>
      <w:tr w:rsidR="002C26E2" w14:paraId="09123360" w14:textId="77777777" w:rsidTr="00444ECE">
        <w:trPr>
          <w:trHeight w:val="401"/>
        </w:trPr>
        <w:tc>
          <w:tcPr>
            <w:tcW w:w="2404" w:type="dxa"/>
            <w:tcBorders>
              <w:top w:val="single" w:sz="4" w:space="0" w:color="000000"/>
              <w:left w:val="single" w:sz="4" w:space="0" w:color="000000"/>
              <w:bottom w:val="single" w:sz="4" w:space="0" w:color="000000"/>
              <w:right w:val="single" w:sz="4" w:space="0" w:color="000000"/>
            </w:tcBorders>
          </w:tcPr>
          <w:p w14:paraId="38BC4182" w14:textId="77777777" w:rsidR="002C26E2" w:rsidRDefault="00812CB4">
            <w:pPr>
              <w:spacing w:after="0" w:line="259" w:lineRule="auto"/>
              <w:ind w:left="107" w:firstLine="0"/>
            </w:pPr>
            <w:r>
              <w:rPr>
                <w:sz w:val="20"/>
              </w:rPr>
              <w:t xml:space="preserve">TOTAL </w:t>
            </w:r>
          </w:p>
        </w:tc>
        <w:tc>
          <w:tcPr>
            <w:tcW w:w="1853" w:type="dxa"/>
            <w:tcBorders>
              <w:top w:val="single" w:sz="4" w:space="0" w:color="000000"/>
              <w:left w:val="single" w:sz="4" w:space="0" w:color="000000"/>
              <w:bottom w:val="single" w:sz="4" w:space="0" w:color="000000"/>
              <w:right w:val="single" w:sz="4" w:space="0" w:color="000000"/>
            </w:tcBorders>
            <w:vAlign w:val="center"/>
          </w:tcPr>
          <w:p w14:paraId="2929E840" w14:textId="098988AB" w:rsidR="002C26E2" w:rsidRPr="00444ECE" w:rsidRDefault="002C26E2" w:rsidP="00444ECE">
            <w:pPr>
              <w:spacing w:after="0" w:line="259" w:lineRule="auto"/>
              <w:jc w:val="center"/>
              <w:rPr>
                <w:sz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7BFB8CA" w14:textId="6206795F" w:rsidR="002C26E2" w:rsidRPr="00444ECE" w:rsidRDefault="002C26E2" w:rsidP="00444ECE">
            <w:pPr>
              <w:spacing w:after="0" w:line="259" w:lineRule="auto"/>
              <w:jc w:val="center"/>
              <w:rPr>
                <w:sz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120F98C" w14:textId="7C4CAE55" w:rsidR="002C26E2" w:rsidRPr="00444ECE" w:rsidRDefault="00812CB4" w:rsidP="00444ECE">
            <w:pPr>
              <w:spacing w:after="0" w:line="259" w:lineRule="auto"/>
              <w:jc w:val="center"/>
              <w:rPr>
                <w:sz w:val="20"/>
              </w:rPr>
            </w:pPr>
            <w:r>
              <w:rPr>
                <w:sz w:val="20"/>
              </w:rPr>
              <w:t>£248,780</w:t>
            </w:r>
          </w:p>
        </w:tc>
      </w:tr>
    </w:tbl>
    <w:p w14:paraId="1A49903E" w14:textId="77777777" w:rsidR="002C26E2" w:rsidRDefault="00812CB4">
      <w:pPr>
        <w:spacing w:after="548" w:line="259" w:lineRule="auto"/>
        <w:ind w:left="12" w:firstLine="0"/>
      </w:pPr>
      <w:r>
        <w:t xml:space="preserve"> </w:t>
      </w:r>
    </w:p>
    <w:p w14:paraId="132F4E01" w14:textId="77777777" w:rsidR="002C26E2" w:rsidRDefault="00812CB4">
      <w:pPr>
        <w:pStyle w:val="Heading2"/>
        <w:ind w:left="849" w:right="200" w:hanging="852"/>
      </w:pPr>
      <w:bookmarkStart w:id="79" w:name="_Toc107617"/>
      <w:r>
        <w:rPr>
          <w:color w:val="004E9A"/>
          <w:sz w:val="28"/>
        </w:rPr>
        <w:t>C</w:t>
      </w:r>
      <w:r>
        <w:rPr>
          <w:color w:val="004E9A"/>
        </w:rPr>
        <w:t>ONCLUSIONS ON AUDIO</w:t>
      </w:r>
      <w:r>
        <w:rPr>
          <w:color w:val="004E9A"/>
          <w:sz w:val="28"/>
        </w:rPr>
        <w:t>-</w:t>
      </w:r>
      <w:r>
        <w:rPr>
          <w:color w:val="004E9A"/>
        </w:rPr>
        <w:t>VISUAL MATERIAL REVIEW</w:t>
      </w:r>
      <w:r>
        <w:rPr>
          <w:color w:val="004E9A"/>
          <w:sz w:val="28"/>
        </w:rPr>
        <w:t xml:space="preserve"> </w:t>
      </w:r>
      <w:bookmarkEnd w:id="79"/>
    </w:p>
    <w:p w14:paraId="18D027AD" w14:textId="77777777" w:rsidR="002C26E2" w:rsidRDefault="00812CB4">
      <w:pPr>
        <w:spacing w:line="259" w:lineRule="auto"/>
        <w:ind w:left="7" w:right="225"/>
      </w:pPr>
      <w:r>
        <w:t xml:space="preserve">The Review Team concludes that: </w:t>
      </w:r>
    </w:p>
    <w:p w14:paraId="048ECAE1" w14:textId="77777777" w:rsidR="002C26E2" w:rsidRDefault="00812CB4">
      <w:pPr>
        <w:numPr>
          <w:ilvl w:val="0"/>
          <w:numId w:val="62"/>
        </w:numPr>
        <w:spacing w:line="259" w:lineRule="auto"/>
        <w:ind w:right="225" w:hanging="355"/>
      </w:pPr>
      <w:r>
        <w:t xml:space="preserve">current treatment of AV review lacks transparency and consistency; </w:t>
      </w:r>
    </w:p>
    <w:p w14:paraId="7509C199" w14:textId="77777777" w:rsidR="002C26E2" w:rsidRDefault="00812CB4">
      <w:pPr>
        <w:numPr>
          <w:ilvl w:val="0"/>
          <w:numId w:val="62"/>
        </w:numPr>
        <w:spacing w:after="239" w:line="259" w:lineRule="auto"/>
        <w:ind w:right="225" w:hanging="355"/>
      </w:pPr>
      <w:r>
        <w:t>reliance on EP is neither efficient nor aligned with EP’s intended purpose;</w:t>
      </w:r>
      <w:r>
        <w:t xml:space="preserve"> </w:t>
      </w:r>
    </w:p>
    <w:p w14:paraId="1254FCB3" w14:textId="77777777" w:rsidR="002C26E2" w:rsidRDefault="00812CB4">
      <w:pPr>
        <w:numPr>
          <w:ilvl w:val="0"/>
          <w:numId w:val="62"/>
        </w:numPr>
        <w:spacing w:line="259" w:lineRule="auto"/>
        <w:ind w:right="225" w:hanging="355"/>
      </w:pPr>
      <w:r>
        <w:t xml:space="preserve">AV material review is substantively comparable to PPE reading; and </w:t>
      </w:r>
    </w:p>
    <w:p w14:paraId="616F2B14" w14:textId="77777777" w:rsidR="002C26E2" w:rsidRDefault="00812CB4">
      <w:pPr>
        <w:numPr>
          <w:ilvl w:val="0"/>
          <w:numId w:val="62"/>
        </w:numPr>
        <w:spacing w:after="422"/>
        <w:ind w:right="225" w:hanging="355"/>
      </w:pPr>
      <w:r>
        <w:t xml:space="preserve">a discrete, standardised remuneration mechanism is both more proportionate and easier to administer. </w:t>
      </w:r>
    </w:p>
    <w:p w14:paraId="00D4861F" w14:textId="77777777" w:rsidR="002C26E2" w:rsidRDefault="00812CB4">
      <w:pPr>
        <w:pStyle w:val="Heading2"/>
        <w:spacing w:after="0" w:line="605" w:lineRule="auto"/>
        <w:ind w:left="849" w:right="200" w:hanging="852"/>
      </w:pPr>
      <w:bookmarkStart w:id="80" w:name="_Toc107618"/>
      <w:r>
        <w:rPr>
          <w:color w:val="004E9A"/>
          <w:sz w:val="28"/>
        </w:rPr>
        <w:t>R</w:t>
      </w:r>
      <w:r>
        <w:rPr>
          <w:color w:val="004E9A"/>
        </w:rPr>
        <w:t>ECOMMENDATIONS</w:t>
      </w:r>
      <w:r>
        <w:rPr>
          <w:color w:val="004E9A"/>
          <w:sz w:val="28"/>
        </w:rPr>
        <w:t>:</w:t>
      </w:r>
      <w:r>
        <w:rPr>
          <w:color w:val="004E9A"/>
        </w:rPr>
        <w:t xml:space="preserve"> </w:t>
      </w:r>
      <w:r>
        <w:rPr>
          <w:color w:val="004E9A"/>
          <w:sz w:val="28"/>
        </w:rPr>
        <w:t>A</w:t>
      </w:r>
      <w:r>
        <w:rPr>
          <w:color w:val="004E9A"/>
        </w:rPr>
        <w:t>UDIO</w:t>
      </w:r>
      <w:r>
        <w:rPr>
          <w:color w:val="004E9A"/>
          <w:sz w:val="28"/>
        </w:rPr>
        <w:t>-V</w:t>
      </w:r>
      <w:r>
        <w:rPr>
          <w:color w:val="004E9A"/>
        </w:rPr>
        <w:t xml:space="preserve">ISUAL </w:t>
      </w:r>
      <w:r>
        <w:rPr>
          <w:color w:val="004E9A"/>
          <w:sz w:val="28"/>
        </w:rPr>
        <w:t>M</w:t>
      </w:r>
      <w:r>
        <w:rPr>
          <w:color w:val="004E9A"/>
        </w:rPr>
        <w:t xml:space="preserve">ATERIAL </w:t>
      </w:r>
      <w:r>
        <w:rPr>
          <w:color w:val="004E9A"/>
          <w:sz w:val="28"/>
        </w:rPr>
        <w:t>R</w:t>
      </w:r>
      <w:r>
        <w:rPr>
          <w:color w:val="004E9A"/>
        </w:rPr>
        <w:t>EVIEW</w:t>
      </w:r>
      <w:r>
        <w:rPr>
          <w:color w:val="004E9A"/>
          <w:sz w:val="28"/>
        </w:rPr>
        <w:t xml:space="preserve"> </w:t>
      </w:r>
      <w:bookmarkEnd w:id="80"/>
    </w:p>
    <w:p w14:paraId="7429FD4B" w14:textId="77777777" w:rsidR="002C26E2" w:rsidRDefault="00812CB4">
      <w:pPr>
        <w:spacing w:after="0" w:line="605" w:lineRule="auto"/>
        <w:ind w:left="7" w:right="200"/>
      </w:pPr>
      <w:r>
        <w:rPr>
          <w:b/>
          <w:u w:val="single" w:color="000000"/>
        </w:rPr>
        <w:t>Recommendation 15</w:t>
      </w:r>
      <w:r>
        <w:rPr>
          <w:b/>
        </w:rPr>
        <w:t xml:space="preserve">: </w:t>
      </w:r>
    </w:p>
    <w:p w14:paraId="09E722A2" w14:textId="77777777" w:rsidR="002C26E2" w:rsidRDefault="00812CB4">
      <w:pPr>
        <w:ind w:left="7" w:right="225"/>
      </w:pPr>
      <w:r>
        <w:t xml:space="preserve">A discrete hourly rate of </w:t>
      </w:r>
      <w:r>
        <w:rPr>
          <w:b/>
        </w:rPr>
        <w:t>£70 per hour</w:t>
      </w:r>
      <w:r>
        <w:t xml:space="preserve"> </w:t>
      </w:r>
      <w:r>
        <w:t xml:space="preserve">should be introduced for solicitors reviewing audio-visual material in Crown Court proceedings. </w:t>
      </w:r>
    </w:p>
    <w:p w14:paraId="03284D96" w14:textId="77777777" w:rsidR="002C26E2" w:rsidRDefault="00812CB4">
      <w:pPr>
        <w:spacing w:after="353" w:line="263" w:lineRule="auto"/>
        <w:ind w:left="7"/>
      </w:pPr>
      <w:r>
        <w:rPr>
          <w:b/>
          <w:u w:val="single" w:color="000000"/>
        </w:rPr>
        <w:t>Recommendation</w:t>
      </w:r>
      <w:r>
        <w:rPr>
          <w:u w:val="single" w:color="000000"/>
        </w:rPr>
        <w:t xml:space="preserve"> </w:t>
      </w:r>
      <w:r>
        <w:rPr>
          <w:b/>
          <w:u w:val="single" w:color="000000"/>
        </w:rPr>
        <w:t>16:</w:t>
      </w:r>
      <w:r>
        <w:t xml:space="preserve">  </w:t>
      </w:r>
    </w:p>
    <w:p w14:paraId="3C3537D4" w14:textId="77777777" w:rsidR="002C26E2" w:rsidRDefault="00812CB4">
      <w:pPr>
        <w:ind w:left="7" w:right="225"/>
      </w:pPr>
      <w:r>
        <w:t xml:space="preserve">The Legal Services Agency may wish to remunerate AV review work in </w:t>
      </w:r>
      <w:r>
        <w:rPr>
          <w:b/>
        </w:rPr>
        <w:t>10-minute units</w:t>
      </w:r>
      <w:r>
        <w:t xml:space="preserve">, at a rate of </w:t>
      </w:r>
      <w:r>
        <w:rPr>
          <w:b/>
        </w:rPr>
        <w:t>£11.67 per 10 minutes</w:t>
      </w:r>
      <w:r>
        <w:t xml:space="preserve">, consistent with existing Crown Court arrangements for counsel. </w:t>
      </w:r>
    </w:p>
    <w:p w14:paraId="60AB8CAB" w14:textId="77777777" w:rsidR="002C26E2" w:rsidRDefault="00812CB4">
      <w:pPr>
        <w:spacing w:after="353" w:line="263" w:lineRule="auto"/>
        <w:ind w:left="7"/>
      </w:pPr>
      <w:r>
        <w:rPr>
          <w:b/>
          <w:u w:val="single" w:color="000000"/>
        </w:rPr>
        <w:t>Recommendation 17:</w:t>
      </w:r>
      <w:r>
        <w:rPr>
          <w:b/>
        </w:rPr>
        <w:t xml:space="preserve">  </w:t>
      </w:r>
    </w:p>
    <w:p w14:paraId="304065FF" w14:textId="77777777" w:rsidR="002C26E2" w:rsidRDefault="00812CB4">
      <w:pPr>
        <w:ind w:left="7" w:right="225"/>
      </w:pPr>
      <w:r>
        <w:t xml:space="preserve">Exceptional Preparation should </w:t>
      </w:r>
      <w:r>
        <w:rPr>
          <w:b/>
        </w:rPr>
        <w:t>not</w:t>
      </w:r>
      <w:r>
        <w:t xml:space="preserve"> be used to remunerate audio-visual material review by either solicitors or barristers, except in genuinely exceptional circumstances. </w:t>
      </w:r>
    </w:p>
    <w:p w14:paraId="3195B45D" w14:textId="77777777" w:rsidR="002C26E2" w:rsidRDefault="00812CB4">
      <w:pPr>
        <w:ind w:left="7" w:right="225"/>
      </w:pPr>
      <w:r>
        <w:t>In addition, Exceptional Preparation should not be used for reviewing audio visual material by either solicitors or counsel going forward</w:t>
      </w:r>
      <w:r>
        <w:rPr>
          <w:rFonts w:ascii="Times New Roman" w:eastAsia="Times New Roman" w:hAnsi="Times New Roman" w:cs="Times New Roman"/>
        </w:rPr>
        <w:t xml:space="preserve">. </w:t>
      </w:r>
    </w:p>
    <w:p w14:paraId="57352DA0" w14:textId="77777777" w:rsidR="002C26E2" w:rsidRDefault="00812CB4">
      <w:pPr>
        <w:spacing w:after="109" w:line="265" w:lineRule="auto"/>
        <w:ind w:left="7"/>
      </w:pPr>
      <w:r>
        <w:rPr>
          <w:u w:val="single" w:color="000000"/>
        </w:rPr>
        <w:t>Costs</w:t>
      </w:r>
      <w:r>
        <w:t xml:space="preserve"> </w:t>
      </w:r>
    </w:p>
    <w:p w14:paraId="2E2424CC" w14:textId="77777777" w:rsidR="002C26E2" w:rsidRDefault="00812CB4">
      <w:pPr>
        <w:spacing w:after="300"/>
        <w:ind w:left="7" w:right="225"/>
      </w:pPr>
      <w:r>
        <w:t xml:space="preserve">It is forecast that implementation of recommendations 15, 16 and 17 will lead to additional legal aid costs per year of £38k.  </w:t>
      </w:r>
    </w:p>
    <w:p w14:paraId="3BA47F80" w14:textId="77777777" w:rsidR="002C26E2" w:rsidRDefault="00812CB4">
      <w:pPr>
        <w:spacing w:after="0" w:line="259" w:lineRule="auto"/>
        <w:ind w:left="12" w:firstLine="0"/>
      </w:pPr>
      <w:r>
        <w:rPr>
          <w:color w:val="004E9A"/>
        </w:rPr>
        <w:t xml:space="preserve"> </w:t>
      </w:r>
      <w:r>
        <w:rPr>
          <w:color w:val="004E9A"/>
        </w:rPr>
        <w:tab/>
      </w:r>
      <w:r>
        <w:rPr>
          <w:b/>
          <w:color w:val="004E9A"/>
          <w:sz w:val="36"/>
        </w:rPr>
        <w:t xml:space="preserve"> </w:t>
      </w:r>
    </w:p>
    <w:p w14:paraId="30BC1FBA" w14:textId="77777777" w:rsidR="002C26E2" w:rsidRDefault="00812CB4">
      <w:pPr>
        <w:pStyle w:val="Heading1"/>
        <w:spacing w:after="228" w:line="259" w:lineRule="auto"/>
        <w:ind w:left="849" w:hanging="852"/>
      </w:pPr>
      <w:bookmarkStart w:id="81" w:name="_Toc107619"/>
      <w:r>
        <w:rPr>
          <w:color w:val="004E9A"/>
          <w:sz w:val="36"/>
        </w:rPr>
        <w:t>S</w:t>
      </w:r>
      <w:r>
        <w:rPr>
          <w:color w:val="004E9A"/>
          <w:sz w:val="29"/>
        </w:rPr>
        <w:t xml:space="preserve">TATUTORY </w:t>
      </w:r>
      <w:r>
        <w:rPr>
          <w:color w:val="004E9A"/>
          <w:sz w:val="36"/>
        </w:rPr>
        <w:t>C</w:t>
      </w:r>
      <w:r>
        <w:rPr>
          <w:color w:val="004E9A"/>
          <w:sz w:val="29"/>
        </w:rPr>
        <w:t>RITERIA</w:t>
      </w:r>
      <w:r>
        <w:rPr>
          <w:color w:val="004E9A"/>
          <w:sz w:val="36"/>
        </w:rPr>
        <w:t>,</w:t>
      </w:r>
      <w:r>
        <w:rPr>
          <w:color w:val="004E9A"/>
          <w:sz w:val="29"/>
        </w:rPr>
        <w:t xml:space="preserve"> </w:t>
      </w:r>
      <w:r>
        <w:rPr>
          <w:color w:val="004E9A"/>
          <w:sz w:val="36"/>
        </w:rPr>
        <w:t>A</w:t>
      </w:r>
      <w:r>
        <w:rPr>
          <w:color w:val="004E9A"/>
          <w:sz w:val="29"/>
        </w:rPr>
        <w:t xml:space="preserve">FFORDABILITY AND </w:t>
      </w:r>
      <w:r>
        <w:rPr>
          <w:color w:val="004E9A"/>
          <w:sz w:val="36"/>
        </w:rPr>
        <w:t>V</w:t>
      </w:r>
      <w:r>
        <w:rPr>
          <w:color w:val="004E9A"/>
          <w:sz w:val="29"/>
        </w:rPr>
        <w:t xml:space="preserve">ALUE </w:t>
      </w:r>
      <w:bookmarkEnd w:id="81"/>
    </w:p>
    <w:p w14:paraId="3C19EE53" w14:textId="77777777" w:rsidR="002C26E2" w:rsidRDefault="00812CB4">
      <w:pPr>
        <w:pStyle w:val="Heading3"/>
        <w:spacing w:after="0" w:line="259" w:lineRule="auto"/>
        <w:ind w:left="874"/>
      </w:pPr>
      <w:bookmarkStart w:id="82" w:name="_Toc107620"/>
      <w:r>
        <w:rPr>
          <w:sz w:val="29"/>
        </w:rPr>
        <w:t xml:space="preserve">FOR </w:t>
      </w:r>
      <w:r>
        <w:rPr>
          <w:sz w:val="36"/>
        </w:rPr>
        <w:t>M</w:t>
      </w:r>
      <w:r>
        <w:rPr>
          <w:sz w:val="29"/>
        </w:rPr>
        <w:t xml:space="preserve">ONEY </w:t>
      </w:r>
      <w:r>
        <w:rPr>
          <w:sz w:val="36"/>
        </w:rPr>
        <w:t>(V</w:t>
      </w:r>
      <w:r>
        <w:rPr>
          <w:sz w:val="29"/>
        </w:rPr>
        <w:t>F</w:t>
      </w:r>
      <w:r>
        <w:rPr>
          <w:sz w:val="36"/>
        </w:rPr>
        <w:t xml:space="preserve">M) </w:t>
      </w:r>
      <w:bookmarkEnd w:id="82"/>
    </w:p>
    <w:p w14:paraId="49D8B221" w14:textId="77777777" w:rsidR="002C26E2" w:rsidRDefault="00812CB4">
      <w:pPr>
        <w:spacing w:after="212" w:line="259" w:lineRule="auto"/>
        <w:ind w:left="-17" w:firstLine="0"/>
      </w:pPr>
      <w:r>
        <w:rPr>
          <w:rFonts w:ascii="Calibri" w:eastAsia="Calibri" w:hAnsi="Calibri" w:cs="Calibri"/>
          <w:noProof/>
          <w:sz w:val="22"/>
        </w:rPr>
        <mc:AlternateContent>
          <mc:Choice Requires="wpg">
            <w:drawing>
              <wp:inline distT="0" distB="0" distL="0" distR="0" wp14:anchorId="685ADA86" wp14:editId="007E2C49">
                <wp:extent cx="5769610" cy="6096"/>
                <wp:effectExtent l="0" t="0" r="0" b="0"/>
                <wp:docPr id="101119" name="Group 101119"/>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17" name="Shape 11001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01119" style="width:454.3pt;height:0.47998pt;mso-position-horizontal-relative:char;mso-position-vertical-relative:line" coordsize="57696,60">
                <v:shape id="Shape 110018"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19367CE0" w14:textId="77777777" w:rsidR="002C26E2" w:rsidRDefault="00812CB4">
      <w:pPr>
        <w:spacing w:after="423"/>
        <w:ind w:left="7" w:right="225"/>
      </w:pPr>
      <w:r>
        <w:t xml:space="preserve">This section sets out the </w:t>
      </w:r>
      <w:r>
        <w:rPr>
          <w:b/>
        </w:rPr>
        <w:t>statutory criteria</w:t>
      </w:r>
      <w:r>
        <w:t xml:space="preserve"> </w:t>
      </w:r>
      <w:r>
        <w:t xml:space="preserve">applicable to determining remuneration under the fee regime, explains the role of </w:t>
      </w:r>
      <w:r>
        <w:rPr>
          <w:b/>
        </w:rPr>
        <w:t>affordability</w:t>
      </w:r>
      <w:r>
        <w:t xml:space="preserve"> within that framework and within the agreed Terms of Reference, and summarises the relevance of </w:t>
      </w:r>
      <w:r>
        <w:rPr>
          <w:b/>
        </w:rPr>
        <w:t>Value for Money (</w:t>
      </w:r>
      <w:proofErr w:type="spellStart"/>
      <w:r>
        <w:rPr>
          <w:b/>
        </w:rPr>
        <w:t>VfM</w:t>
      </w:r>
      <w:proofErr w:type="spellEnd"/>
      <w:r>
        <w:rPr>
          <w:b/>
        </w:rPr>
        <w:t>)</w:t>
      </w:r>
      <w:r>
        <w:t xml:space="preserve"> to the recommendations made in this report. </w:t>
      </w:r>
    </w:p>
    <w:p w14:paraId="5A614B88" w14:textId="77777777" w:rsidR="002C26E2" w:rsidRDefault="00812CB4">
      <w:pPr>
        <w:pStyle w:val="Heading2"/>
        <w:ind w:left="849" w:right="200" w:hanging="852"/>
      </w:pPr>
      <w:bookmarkStart w:id="83" w:name="_Toc107621"/>
      <w:r>
        <w:rPr>
          <w:color w:val="004E9A"/>
          <w:sz w:val="28"/>
        </w:rPr>
        <w:t>S</w:t>
      </w:r>
      <w:r>
        <w:rPr>
          <w:color w:val="004E9A"/>
        </w:rPr>
        <w:t xml:space="preserve">TATUTORY FRAMEWORK </w:t>
      </w:r>
      <w:r>
        <w:rPr>
          <w:color w:val="004E9A"/>
          <w:sz w:val="28"/>
        </w:rPr>
        <w:t>(A</w:t>
      </w:r>
      <w:r>
        <w:rPr>
          <w:color w:val="004E9A"/>
        </w:rPr>
        <w:t xml:space="preserve">RTICLE </w:t>
      </w:r>
      <w:r>
        <w:rPr>
          <w:color w:val="004E9A"/>
          <w:sz w:val="28"/>
        </w:rPr>
        <w:t>37</w:t>
      </w:r>
      <w:r>
        <w:rPr>
          <w:color w:val="004E9A"/>
        </w:rPr>
        <w:t xml:space="preserve"> CRITERIA</w:t>
      </w:r>
      <w:r>
        <w:rPr>
          <w:color w:val="004E9A"/>
          <w:sz w:val="28"/>
        </w:rPr>
        <w:t xml:space="preserve">) </w:t>
      </w:r>
      <w:bookmarkEnd w:id="83"/>
    </w:p>
    <w:p w14:paraId="619B760C" w14:textId="77777777" w:rsidR="002C26E2" w:rsidRDefault="00812CB4">
      <w:pPr>
        <w:spacing w:after="113"/>
        <w:ind w:left="7" w:right="225"/>
      </w:pPr>
      <w:r>
        <w:t xml:space="preserve">The statutory criteria to which regard must be had in determining rates paid for legal advice and representation include: </w:t>
      </w:r>
    </w:p>
    <w:p w14:paraId="240C9BCE" w14:textId="77777777" w:rsidR="002C26E2" w:rsidRDefault="00812CB4">
      <w:pPr>
        <w:numPr>
          <w:ilvl w:val="0"/>
          <w:numId w:val="63"/>
        </w:numPr>
        <w:spacing w:after="232" w:line="265" w:lineRule="auto"/>
        <w:ind w:right="225" w:hanging="360"/>
      </w:pPr>
      <w:r>
        <w:t xml:space="preserve">the </w:t>
      </w:r>
      <w:r>
        <w:rPr>
          <w:b/>
        </w:rPr>
        <w:t>time and skill</w:t>
      </w:r>
      <w:r>
        <w:t xml:space="preserve"> required; </w:t>
      </w:r>
    </w:p>
    <w:p w14:paraId="12C1E177" w14:textId="77777777" w:rsidR="002C26E2" w:rsidRDefault="00812CB4">
      <w:pPr>
        <w:numPr>
          <w:ilvl w:val="0"/>
          <w:numId w:val="63"/>
        </w:numPr>
        <w:spacing w:after="115"/>
        <w:ind w:right="225" w:hanging="360"/>
      </w:pPr>
      <w:r>
        <w:t xml:space="preserve">the </w:t>
      </w:r>
      <w:r>
        <w:rPr>
          <w:b/>
        </w:rPr>
        <w:t>number and general level of competence</w:t>
      </w:r>
      <w:r>
        <w:t xml:space="preserve"> of persons providing the services; </w:t>
      </w:r>
    </w:p>
    <w:p w14:paraId="32F34B7A" w14:textId="77777777" w:rsidR="002C26E2" w:rsidRDefault="00812CB4">
      <w:pPr>
        <w:numPr>
          <w:ilvl w:val="0"/>
          <w:numId w:val="63"/>
        </w:numPr>
        <w:spacing w:line="259" w:lineRule="auto"/>
        <w:ind w:right="225" w:hanging="360"/>
      </w:pPr>
      <w:r>
        <w:t xml:space="preserve">the </w:t>
      </w:r>
      <w:r>
        <w:rPr>
          <w:b/>
        </w:rPr>
        <w:t>cost to public funds</w:t>
      </w:r>
      <w:r>
        <w:t xml:space="preserve"> of any provision made by the regulations; and </w:t>
      </w:r>
    </w:p>
    <w:p w14:paraId="3AA35878" w14:textId="77777777" w:rsidR="002C26E2" w:rsidRDefault="00812CB4">
      <w:pPr>
        <w:numPr>
          <w:ilvl w:val="0"/>
          <w:numId w:val="63"/>
        </w:numPr>
        <w:spacing w:after="351" w:line="265" w:lineRule="auto"/>
        <w:ind w:right="225" w:hanging="360"/>
      </w:pPr>
      <w:r>
        <w:t xml:space="preserve">the </w:t>
      </w:r>
      <w:r>
        <w:rPr>
          <w:b/>
        </w:rPr>
        <w:t>need</w:t>
      </w:r>
      <w:r>
        <w:t xml:space="preserve"> to secure </w:t>
      </w:r>
      <w:r>
        <w:rPr>
          <w:b/>
        </w:rPr>
        <w:t>value for money</w:t>
      </w:r>
      <w:r>
        <w:t xml:space="preserve">. </w:t>
      </w:r>
    </w:p>
    <w:p w14:paraId="2785C292" w14:textId="77777777" w:rsidR="002C26E2" w:rsidRDefault="00812CB4">
      <w:pPr>
        <w:ind w:left="7" w:right="225"/>
      </w:pPr>
      <w:r>
        <w:t xml:space="preserve">The role and the applicability of each of the specific criteria have been examined in detail in the Fundamental Review, specifically in Chapter </w:t>
      </w:r>
      <w:proofErr w:type="gramStart"/>
      <w:r>
        <w:t>4..</w:t>
      </w:r>
      <w:proofErr w:type="gramEnd"/>
      <w:r>
        <w:t xml:space="preserve"> </w:t>
      </w:r>
    </w:p>
    <w:p w14:paraId="51861FBF" w14:textId="77777777" w:rsidR="002C26E2" w:rsidRDefault="00812CB4">
      <w:pPr>
        <w:ind w:left="7" w:right="225"/>
      </w:pPr>
      <w:r>
        <w:rPr>
          <w:u w:val="single" w:color="000000"/>
        </w:rPr>
        <w:t>Criteria 1 and 2</w:t>
      </w:r>
      <w:r>
        <w:t xml:space="preserve"> can be considered together. The Fundamental Review carried out a detailed examination of the viability of both branches of the profession to ascertain if it could provide a skilled service such as to ensure that the individual member of society would be </w:t>
      </w:r>
      <w:proofErr w:type="gramStart"/>
      <w:r>
        <w:t>in a position</w:t>
      </w:r>
      <w:proofErr w:type="gramEnd"/>
      <w:r>
        <w:t xml:space="preserve"> to address the power of the State </w:t>
      </w:r>
      <w:proofErr w:type="gramStart"/>
      <w:r>
        <w:t>on the basis of</w:t>
      </w:r>
      <w:proofErr w:type="gramEnd"/>
      <w:r>
        <w:t xml:space="preserve"> equality. That service requires the proximity of availability of those practising criminal </w:t>
      </w:r>
      <w:r>
        <w:t xml:space="preserve">law with the level of skill that ensures the public’s constitutional right of access to the </w:t>
      </w:r>
      <w:r>
        <w:t xml:space="preserve">courts. </w:t>
      </w:r>
    </w:p>
    <w:p w14:paraId="217CD1E2" w14:textId="77777777" w:rsidR="002C26E2" w:rsidRDefault="00812CB4">
      <w:pPr>
        <w:ind w:left="7" w:right="225"/>
      </w:pPr>
      <w:r>
        <w:t xml:space="preserve">The Fundamental Review examined and set out in detail the demands of the criminal law system </w:t>
      </w:r>
      <w:proofErr w:type="gramStart"/>
      <w:r>
        <w:t>including:-</w:t>
      </w:r>
      <w:proofErr w:type="gramEnd"/>
      <w:r>
        <w:t xml:space="preserve"> </w:t>
      </w:r>
    </w:p>
    <w:p w14:paraId="4C8C895E" w14:textId="77777777" w:rsidR="002C26E2" w:rsidRDefault="00812CB4">
      <w:pPr>
        <w:numPr>
          <w:ilvl w:val="0"/>
          <w:numId w:val="63"/>
        </w:numPr>
        <w:spacing w:after="327" w:line="259" w:lineRule="auto"/>
        <w:ind w:right="225" w:hanging="360"/>
      </w:pPr>
      <w:r>
        <w:t>the daily 24-</w:t>
      </w:r>
      <w:r>
        <w:t xml:space="preserve">hour cycle and the social restrictions </w:t>
      </w:r>
      <w:proofErr w:type="gramStart"/>
      <w:r>
        <w:t>this places</w:t>
      </w:r>
      <w:proofErr w:type="gramEnd"/>
      <w:r>
        <w:t xml:space="preserve"> on practitioners: </w:t>
      </w:r>
    </w:p>
    <w:p w14:paraId="467EB2D1" w14:textId="77777777" w:rsidR="002C26E2" w:rsidRDefault="00812CB4">
      <w:pPr>
        <w:numPr>
          <w:ilvl w:val="0"/>
          <w:numId w:val="63"/>
        </w:numPr>
        <w:spacing w:line="259" w:lineRule="auto"/>
        <w:ind w:right="225" w:hanging="360"/>
      </w:pPr>
      <w:r>
        <w:t xml:space="preserve">The increasing number of offences and their complexity: and </w:t>
      </w:r>
    </w:p>
    <w:p w14:paraId="059EC356" w14:textId="77777777" w:rsidR="002C26E2" w:rsidRDefault="00812CB4">
      <w:pPr>
        <w:numPr>
          <w:ilvl w:val="0"/>
          <w:numId w:val="63"/>
        </w:numPr>
        <w:spacing w:after="310" w:line="259" w:lineRule="auto"/>
        <w:ind w:right="225" w:hanging="360"/>
      </w:pPr>
      <w:r>
        <w:t xml:space="preserve">The demands of procedural and evidential requirements. </w:t>
      </w:r>
    </w:p>
    <w:p w14:paraId="36B871B1" w14:textId="77777777" w:rsidR="002C26E2" w:rsidRDefault="00812CB4">
      <w:pPr>
        <w:ind w:left="7" w:right="225"/>
      </w:pPr>
      <w:r>
        <w:t xml:space="preserve">The Fundamental Review </w:t>
      </w:r>
      <w:r>
        <w:t xml:space="preserve">also traced from entry into university through to and including five years and beyond of those seeking to enter the profession and pursuing </w:t>
      </w:r>
      <w:proofErr w:type="gramStart"/>
      <w:r>
        <w:t>in particular a</w:t>
      </w:r>
      <w:proofErr w:type="gramEnd"/>
      <w:r>
        <w:t xml:space="preserve"> career in criminal law-in the face of competing areas of legal practice. The Fundamental Review concluded that the position in respect of both sides of the profession, solicitors and barristers, was perilous, informed in a substantial part by the level of criminal legal aid funding. </w:t>
      </w:r>
    </w:p>
    <w:p w14:paraId="5CEE56A9" w14:textId="77777777" w:rsidR="002C26E2" w:rsidRDefault="00812CB4">
      <w:pPr>
        <w:ind w:left="7" w:right="225"/>
      </w:pPr>
      <w:r>
        <w:t>We confirm that we are satisfied that the criteria of time and skill remain at the heart of the service to which the public are entitled: that this can only be served by high level of competence: that the services should be available within reasonable proximity to those requiring them: that the pool of practitioners needs to be sufficient to ensure the full spectrum of experience, including up to dealing with the most complex serious crimes: and that the pool is sufficient to provide the continuous availabi</w:t>
      </w:r>
      <w:r>
        <w:t xml:space="preserve">lity of a highly qualified judiciary. </w:t>
      </w:r>
    </w:p>
    <w:p w14:paraId="3E7F768C" w14:textId="77777777" w:rsidR="002C26E2" w:rsidRDefault="00812CB4">
      <w:pPr>
        <w:ind w:left="7" w:right="225"/>
      </w:pPr>
      <w:r>
        <w:t xml:space="preserve">While </w:t>
      </w:r>
      <w:proofErr w:type="gramStart"/>
      <w:r>
        <w:t>a number of</w:t>
      </w:r>
      <w:proofErr w:type="gramEnd"/>
      <w:r>
        <w:t xml:space="preserve"> changes have been </w:t>
      </w:r>
      <w:proofErr w:type="gramStart"/>
      <w:r>
        <w:t>effected</w:t>
      </w:r>
      <w:proofErr w:type="gramEnd"/>
      <w:r>
        <w:t xml:space="preserve"> following the Fundamental Review, there is no reason to doubt but that the position remains fragile. </w:t>
      </w:r>
    </w:p>
    <w:p w14:paraId="3AF3BAF1" w14:textId="77777777" w:rsidR="002C26E2" w:rsidRDefault="00812CB4">
      <w:pPr>
        <w:spacing w:after="349" w:line="265" w:lineRule="auto"/>
        <w:ind w:left="7"/>
      </w:pPr>
      <w:r>
        <w:rPr>
          <w:u w:val="single" w:color="000000"/>
        </w:rPr>
        <w:t>Criteria 3- Cost to Public Funds</w:t>
      </w:r>
      <w:r>
        <w:t xml:space="preserve"> </w:t>
      </w:r>
    </w:p>
    <w:p w14:paraId="33578079" w14:textId="77777777" w:rsidR="002C26E2" w:rsidRDefault="00812CB4">
      <w:pPr>
        <w:spacing w:after="430" w:line="360" w:lineRule="auto"/>
        <w:ind w:left="7" w:right="220"/>
      </w:pPr>
      <w:r>
        <w:rPr>
          <w:color w:val="0A0A0A"/>
        </w:rPr>
        <w:t xml:space="preserve">For </w:t>
      </w:r>
      <w:r>
        <w:t>the</w:t>
      </w:r>
      <w:r>
        <w:rPr>
          <w:color w:val="0A0A0A"/>
        </w:rPr>
        <w:t xml:space="preserve"> Department to fail to consider Affordability under such circumstances would be irresponsible. In addition, the Terms of Reference for this Accelerated Review replicate the statutory criteria listed above</w:t>
      </w:r>
      <w:r>
        <w:rPr>
          <w:rFonts w:ascii="Times New Roman" w:eastAsia="Times New Roman" w:hAnsi="Times New Roman" w:cs="Times New Roman"/>
          <w:color w:val="0A0A0A"/>
        </w:rPr>
        <w:t xml:space="preserve">. </w:t>
      </w:r>
    </w:p>
    <w:p w14:paraId="3EE88264" w14:textId="77777777" w:rsidR="002C26E2" w:rsidRDefault="00812CB4">
      <w:pPr>
        <w:pStyle w:val="Heading2"/>
        <w:ind w:left="849" w:right="200" w:hanging="852"/>
      </w:pPr>
      <w:bookmarkStart w:id="84" w:name="_Toc107622"/>
      <w:r>
        <w:rPr>
          <w:color w:val="004E9A"/>
          <w:sz w:val="28"/>
        </w:rPr>
        <w:t>T</w:t>
      </w:r>
      <w:r>
        <w:rPr>
          <w:color w:val="004E9A"/>
        </w:rPr>
        <w:t>HE ROLE OF AFFORDABILITY</w:t>
      </w:r>
      <w:r>
        <w:rPr>
          <w:color w:val="004E9A"/>
          <w:sz w:val="28"/>
        </w:rPr>
        <w:t xml:space="preserve"> </w:t>
      </w:r>
      <w:bookmarkEnd w:id="84"/>
    </w:p>
    <w:p w14:paraId="78DF0766" w14:textId="77777777" w:rsidR="002C26E2" w:rsidRDefault="00812CB4">
      <w:pPr>
        <w:spacing w:after="349" w:line="265" w:lineRule="auto"/>
        <w:ind w:left="7"/>
      </w:pPr>
      <w:r>
        <w:rPr>
          <w:u w:val="single" w:color="000000"/>
        </w:rPr>
        <w:t>Position advanced in the CBA Submission</w:t>
      </w:r>
      <w:r>
        <w:t xml:space="preserve"> </w:t>
      </w:r>
    </w:p>
    <w:p w14:paraId="1F2BC26D" w14:textId="77777777" w:rsidR="002C26E2" w:rsidRDefault="00812CB4">
      <w:pPr>
        <w:ind w:left="7" w:right="225"/>
      </w:pPr>
      <w:r>
        <w:t xml:space="preserve">The CBA Submission contends that the Accelerated Review “should have regard to </w:t>
      </w:r>
      <w:r>
        <w:t xml:space="preserve">the statutory criteria, however the factors at Article 37(c) and (d) are not the same as </w:t>
      </w:r>
      <w:r>
        <w:t xml:space="preserve">“affordability”. It argues that </w:t>
      </w:r>
      <w:r>
        <w:t xml:space="preserve">the Accelerated Review should focus on the statutory </w:t>
      </w:r>
      <w:r>
        <w:t xml:space="preserve">criteria and not allow any issue of the Department’s budget or affordability to </w:t>
      </w:r>
      <w:r>
        <w:t>predominate. The listing of criteria in Article 37 related to value for money and cost to public funds complement the obligation to have regard to the time and skill required to u</w:t>
      </w:r>
      <w:r>
        <w:t xml:space="preserve">ndertake </w:t>
      </w:r>
      <w:proofErr w:type="gramStart"/>
      <w:r>
        <w:t>particular forms</w:t>
      </w:r>
      <w:proofErr w:type="gramEnd"/>
      <w:r>
        <w:t xml:space="preserve"> of work; they do not extinguish it”</w:t>
      </w:r>
      <w:r>
        <w:t xml:space="preserve"> </w:t>
      </w:r>
    </w:p>
    <w:p w14:paraId="6CCE9880" w14:textId="77777777" w:rsidR="002C26E2" w:rsidRDefault="00812CB4">
      <w:pPr>
        <w:spacing w:after="349" w:line="265" w:lineRule="auto"/>
        <w:ind w:left="7"/>
      </w:pPr>
      <w:r>
        <w:rPr>
          <w:u w:val="single" w:color="000000"/>
        </w:rPr>
        <w:t>Review Team approach within this Accelerated Review</w:t>
      </w:r>
      <w:r>
        <w:t xml:space="preserve"> </w:t>
      </w:r>
    </w:p>
    <w:p w14:paraId="4CBD5C96" w14:textId="77777777" w:rsidR="002C26E2" w:rsidRDefault="00812CB4">
      <w:pPr>
        <w:ind w:left="7" w:right="225"/>
      </w:pPr>
      <w:r>
        <w:t xml:space="preserve">The Review Team </w:t>
      </w:r>
      <w:r>
        <w:t xml:space="preserve">recognises the CBA’s concerns. However, it is also necessary </w:t>
      </w:r>
      <w:r>
        <w:t xml:space="preserve">that recommendations are </w:t>
      </w:r>
      <w:r>
        <w:rPr>
          <w:b/>
        </w:rPr>
        <w:t>capable of being implemented</w:t>
      </w:r>
      <w:r>
        <w:t xml:space="preserve"> within the finite resources available to the Department. </w:t>
      </w:r>
    </w:p>
    <w:p w14:paraId="1795CA86" w14:textId="77777777" w:rsidR="002C26E2" w:rsidRDefault="00812CB4">
      <w:pPr>
        <w:ind w:left="7" w:right="225"/>
      </w:pPr>
      <w:r>
        <w:t xml:space="preserve">The Review Team has developed recommendations </w:t>
      </w:r>
      <w:r>
        <w:rPr>
          <w:b/>
        </w:rPr>
        <w:t>without making affordability a determinant</w:t>
      </w:r>
      <w:r>
        <w:t xml:space="preserve"> in the analysis, </w:t>
      </w:r>
      <w:proofErr w:type="gramStart"/>
      <w:r>
        <w:t>on the basis of</w:t>
      </w:r>
      <w:proofErr w:type="gramEnd"/>
      <w:r>
        <w:t xml:space="preserve"> the evidence available. It is understood that any affordability analysis will be carried out by the Department after it has considered the recommendations. </w:t>
      </w:r>
      <w:r>
        <w:rPr>
          <w:u w:val="single" w:color="000000"/>
        </w:rPr>
        <w:t>Why affordability remains relevant</w:t>
      </w:r>
      <w:r>
        <w:t xml:space="preserve"> </w:t>
      </w:r>
    </w:p>
    <w:p w14:paraId="68873CF6" w14:textId="77777777" w:rsidR="002C26E2" w:rsidRDefault="00812CB4">
      <w:pPr>
        <w:ind w:left="7" w:right="225"/>
      </w:pPr>
      <w:r>
        <w:t xml:space="preserve">Even where affordability is not listed as a discrete statutory criterion, and </w:t>
      </w:r>
      <w:r>
        <w:rPr>
          <w:color w:val="0A0A0A"/>
        </w:rPr>
        <w:t xml:space="preserve">there are different interpretations around what the </w:t>
      </w:r>
      <w:r>
        <w:rPr>
          <w:b/>
          <w:color w:val="0A0A0A"/>
        </w:rPr>
        <w:t>cost to public funds</w:t>
      </w:r>
      <w:r>
        <w:rPr>
          <w:color w:val="0A0A0A"/>
        </w:rPr>
        <w:t xml:space="preserve"> of any provision made by the regulations means, the</w:t>
      </w:r>
      <w:r>
        <w:t xml:space="preserve"> Review Team considers affordability to be fundamental to reaching an agreement capable of implementation.</w:t>
      </w:r>
      <w:r>
        <w:rPr>
          <w:color w:val="0A0A0A"/>
        </w:rPr>
        <w:t xml:space="preserve"> </w:t>
      </w:r>
      <w:r>
        <w:t xml:space="preserve"> </w:t>
      </w:r>
    </w:p>
    <w:p w14:paraId="273A91BE" w14:textId="77777777" w:rsidR="002C26E2" w:rsidRDefault="00812CB4">
      <w:pPr>
        <w:spacing w:after="115" w:line="259" w:lineRule="auto"/>
        <w:ind w:left="7" w:right="225"/>
      </w:pPr>
      <w:r>
        <w:t xml:space="preserve">In addition, the Terms of Reference state (Clause 21) that: </w:t>
      </w:r>
    </w:p>
    <w:p w14:paraId="0CF600D7" w14:textId="77777777" w:rsidR="002C26E2" w:rsidRDefault="00812CB4">
      <w:pPr>
        <w:spacing w:after="239" w:line="361" w:lineRule="auto"/>
        <w:ind w:left="7" w:right="225"/>
      </w:pPr>
      <w:r>
        <w:t>“All recommendations will be subject to consideration by the Department and</w:t>
      </w:r>
      <w:r>
        <w:t xml:space="preserve">, where considered relevant, implementation will be subject to affordability and necessary </w:t>
      </w:r>
      <w:r>
        <w:t>financial and Ministerial approvals.”</w:t>
      </w:r>
      <w:r>
        <w:t xml:space="preserve"> </w:t>
      </w:r>
    </w:p>
    <w:p w14:paraId="548AF146" w14:textId="77777777" w:rsidR="002C26E2" w:rsidRDefault="00812CB4">
      <w:pPr>
        <w:ind w:left="7" w:right="225"/>
      </w:pPr>
      <w:r>
        <w:t xml:space="preserve">The Review Team considers that failing to consider affordability in the decision-making stage would risk undermining the prospects of a workable way forward. </w:t>
      </w:r>
    </w:p>
    <w:p w14:paraId="7156FAF8" w14:textId="77777777" w:rsidR="002C26E2" w:rsidRDefault="00812CB4">
      <w:pPr>
        <w:spacing w:after="349" w:line="265" w:lineRule="auto"/>
        <w:ind w:left="7"/>
      </w:pPr>
      <w:r>
        <w:rPr>
          <w:u w:val="single" w:color="000000"/>
        </w:rPr>
        <w:t>Context:</w:t>
      </w:r>
      <w:r>
        <w:rPr>
          <w:i/>
          <w:u w:val="single" w:color="000000"/>
        </w:rPr>
        <w:t xml:space="preserve"> </w:t>
      </w:r>
      <w:r>
        <w:rPr>
          <w:u w:val="single" w:color="000000"/>
        </w:rPr>
        <w:t>Resource</w:t>
      </w:r>
      <w:r>
        <w:rPr>
          <w:i/>
          <w:u w:val="single" w:color="000000"/>
        </w:rPr>
        <w:t xml:space="preserve"> </w:t>
      </w:r>
      <w:r>
        <w:rPr>
          <w:u w:val="single" w:color="000000"/>
        </w:rPr>
        <w:t>DEL and departmental constraints</w:t>
      </w:r>
      <w:r>
        <w:rPr>
          <w:i/>
        </w:rPr>
        <w:t xml:space="preserve"> </w:t>
      </w:r>
    </w:p>
    <w:p w14:paraId="30E6F58E" w14:textId="77777777" w:rsidR="002C26E2" w:rsidRDefault="00812CB4">
      <w:pPr>
        <w:ind w:left="7" w:right="225"/>
      </w:pPr>
      <w:r>
        <w:t xml:space="preserve">By way of context, Resource Departmental Expenditure Limits (DEL) represent the funds provided to Departments for day-to-day running costs and service provision. For the Department of Justice, this includes (among other areas) expenditure on policing and security, prisons and youth justice, courts and tribunals, and legal aid. </w:t>
      </w:r>
    </w:p>
    <w:p w14:paraId="27670CFF" w14:textId="77777777" w:rsidR="002C26E2" w:rsidRDefault="00812CB4">
      <w:pPr>
        <w:ind w:left="7" w:right="225"/>
      </w:pPr>
      <w:r>
        <w:t xml:space="preserve">It is noted that it has been widely reported that the DoJ 2024/25 Resource DEL is around £1,262.5m and that the Department has faced significant budget pressure for several years. </w:t>
      </w:r>
    </w:p>
    <w:p w14:paraId="376A6642" w14:textId="77777777" w:rsidR="002C26E2" w:rsidRDefault="00812CB4">
      <w:pPr>
        <w:spacing w:after="434" w:line="360" w:lineRule="auto"/>
        <w:ind w:left="7" w:right="220"/>
      </w:pPr>
      <w:r>
        <w:t xml:space="preserve">Finally, the Review Team emphasises that its recommendations were produced </w:t>
      </w:r>
      <w:r>
        <w:rPr>
          <w:b/>
        </w:rPr>
        <w:t>before</w:t>
      </w:r>
      <w:r>
        <w:t xml:space="preserve"> any affordability assessment. </w:t>
      </w:r>
      <w:r>
        <w:rPr>
          <w:color w:val="0A0A0A"/>
        </w:rPr>
        <w:t xml:space="preserve">The Review team’s recommendations </w:t>
      </w:r>
      <w:r>
        <w:rPr>
          <w:color w:val="0A0A0A"/>
        </w:rPr>
        <w:t xml:space="preserve">have been shared with the Department to enable them to do carry out a costing analysis as part of the overall process. </w:t>
      </w:r>
    </w:p>
    <w:p w14:paraId="07E1C0BB" w14:textId="77777777" w:rsidR="002C26E2" w:rsidRDefault="00812CB4">
      <w:pPr>
        <w:pStyle w:val="Heading2"/>
        <w:ind w:left="849" w:right="200" w:hanging="852"/>
      </w:pPr>
      <w:bookmarkStart w:id="85" w:name="_Toc107623"/>
      <w:r>
        <w:rPr>
          <w:color w:val="004E9A"/>
          <w:sz w:val="28"/>
        </w:rPr>
        <w:t>C</w:t>
      </w:r>
      <w:r>
        <w:rPr>
          <w:color w:val="004E9A"/>
        </w:rPr>
        <w:t>ONCLUSIONS</w:t>
      </w:r>
      <w:r>
        <w:rPr>
          <w:color w:val="004E9A"/>
          <w:sz w:val="28"/>
        </w:rPr>
        <w:t>:</w:t>
      </w:r>
      <w:r>
        <w:rPr>
          <w:color w:val="004E9A"/>
        </w:rPr>
        <w:t xml:space="preserve"> </w:t>
      </w:r>
      <w:r>
        <w:rPr>
          <w:color w:val="004E9A"/>
          <w:sz w:val="28"/>
        </w:rPr>
        <w:t>A</w:t>
      </w:r>
      <w:r>
        <w:rPr>
          <w:color w:val="004E9A"/>
        </w:rPr>
        <w:t>FFORDABILITY</w:t>
      </w:r>
      <w:r>
        <w:rPr>
          <w:color w:val="004E9A"/>
          <w:sz w:val="24"/>
        </w:rPr>
        <w:t xml:space="preserve"> </w:t>
      </w:r>
      <w:bookmarkEnd w:id="85"/>
    </w:p>
    <w:p w14:paraId="7AAB75BC" w14:textId="77777777" w:rsidR="002C26E2" w:rsidRDefault="00812CB4">
      <w:pPr>
        <w:spacing w:after="239" w:line="360" w:lineRule="auto"/>
        <w:ind w:left="7" w:right="220"/>
      </w:pPr>
      <w:r>
        <w:rPr>
          <w:color w:val="0A0A0A"/>
        </w:rPr>
        <w:t xml:space="preserve">We believe that Affordability is a key feature of any recommendations we might make and without considering this, the likelihood of finding a way forward could be jeopardised. However, it is important to note that the recommendations of the Review team, contained in this report, were produced before any consideration of the affordability implications. </w:t>
      </w:r>
    </w:p>
    <w:p w14:paraId="1ED0A928" w14:textId="77777777" w:rsidR="002C26E2" w:rsidRDefault="00812CB4">
      <w:pPr>
        <w:spacing w:after="422" w:line="360" w:lineRule="auto"/>
        <w:ind w:left="7" w:right="220"/>
      </w:pPr>
      <w:r>
        <w:rPr>
          <w:color w:val="0A0A0A"/>
        </w:rPr>
        <w:t xml:space="preserve">As a result, Affordability will be determined by the Department </w:t>
      </w:r>
      <w:proofErr w:type="gramStart"/>
      <w:r>
        <w:rPr>
          <w:color w:val="0A0A0A"/>
        </w:rPr>
        <w:t>as a result of</w:t>
      </w:r>
      <w:proofErr w:type="gramEnd"/>
      <w:r>
        <w:rPr>
          <w:color w:val="0A0A0A"/>
        </w:rPr>
        <w:t xml:space="preserve"> the Recommendations contained within this Review. </w:t>
      </w:r>
    </w:p>
    <w:p w14:paraId="45F620BF" w14:textId="77777777" w:rsidR="002C26E2" w:rsidRDefault="00812CB4">
      <w:pPr>
        <w:pStyle w:val="Heading2"/>
        <w:ind w:left="849" w:right="200" w:hanging="852"/>
      </w:pPr>
      <w:bookmarkStart w:id="86" w:name="_Toc107624"/>
      <w:r>
        <w:rPr>
          <w:color w:val="004E9A"/>
          <w:sz w:val="28"/>
        </w:rPr>
        <w:t>C</w:t>
      </w:r>
      <w:r>
        <w:rPr>
          <w:color w:val="004E9A"/>
        </w:rPr>
        <w:t xml:space="preserve">ONSIDERATION OF </w:t>
      </w:r>
      <w:r>
        <w:rPr>
          <w:color w:val="004E9A"/>
          <w:sz w:val="28"/>
        </w:rPr>
        <w:t>V</w:t>
      </w:r>
      <w:r>
        <w:rPr>
          <w:color w:val="004E9A"/>
        </w:rPr>
        <w:t>F</w:t>
      </w:r>
      <w:r>
        <w:rPr>
          <w:color w:val="004E9A"/>
          <w:sz w:val="28"/>
        </w:rPr>
        <w:t>M</w:t>
      </w:r>
      <w:r>
        <w:rPr>
          <w:color w:val="004E9A"/>
        </w:rPr>
        <w:t xml:space="preserve"> </w:t>
      </w:r>
      <w:r>
        <w:rPr>
          <w:color w:val="004E9A"/>
          <w:sz w:val="28"/>
        </w:rPr>
        <w:t xml:space="preserve"> </w:t>
      </w:r>
      <w:bookmarkEnd w:id="86"/>
    </w:p>
    <w:p w14:paraId="0E532897" w14:textId="77777777" w:rsidR="002C26E2" w:rsidRDefault="00812CB4">
      <w:pPr>
        <w:spacing w:after="349" w:line="265" w:lineRule="auto"/>
        <w:ind w:left="7"/>
      </w:pPr>
      <w:r>
        <w:rPr>
          <w:u w:val="single" w:color="000000"/>
        </w:rPr>
        <w:t>Why</w:t>
      </w:r>
      <w:r>
        <w:rPr>
          <w:b/>
          <w:i/>
          <w:u w:val="single" w:color="000000"/>
        </w:rPr>
        <w:t xml:space="preserve"> </w:t>
      </w:r>
      <w:proofErr w:type="spellStart"/>
      <w:r>
        <w:rPr>
          <w:color w:val="004E9A"/>
          <w:u w:val="single" w:color="000000"/>
        </w:rPr>
        <w:t>VfM</w:t>
      </w:r>
      <w:proofErr w:type="spellEnd"/>
      <w:r>
        <w:rPr>
          <w:u w:val="single" w:color="000000"/>
        </w:rPr>
        <w:t xml:space="preserve"> matters in this review</w:t>
      </w:r>
      <w:r>
        <w:rPr>
          <w:b/>
          <w:i/>
        </w:rPr>
        <w:t xml:space="preserve"> </w:t>
      </w:r>
    </w:p>
    <w:p w14:paraId="2748DD3B" w14:textId="77777777" w:rsidR="002C26E2" w:rsidRDefault="00812CB4">
      <w:pPr>
        <w:ind w:left="7" w:right="225"/>
      </w:pPr>
      <w:r>
        <w:t xml:space="preserve">The </w:t>
      </w:r>
      <w:r>
        <w:rPr>
          <w:color w:val="0A0A0A"/>
        </w:rPr>
        <w:t>statutory</w:t>
      </w:r>
      <w:r>
        <w:t xml:space="preserve"> criteria expressly include the need to secure </w:t>
      </w:r>
      <w:r>
        <w:rPr>
          <w:b/>
        </w:rPr>
        <w:t>value for money</w:t>
      </w:r>
      <w:r>
        <w:t xml:space="preserve">. What does Value for Money mean, particularly in the context of the </w:t>
      </w:r>
      <w:r>
        <w:rPr>
          <w:b/>
          <w:color w:val="0A0A0A"/>
        </w:rPr>
        <w:t xml:space="preserve">Department of Justice in Northern Ireland? </w:t>
      </w:r>
      <w:r>
        <w:t xml:space="preserve"> </w:t>
      </w:r>
    </w:p>
    <w:p w14:paraId="315BF900" w14:textId="77777777" w:rsidR="002C26E2" w:rsidRDefault="00812CB4">
      <w:pPr>
        <w:ind w:left="7" w:right="225"/>
      </w:pPr>
      <w:r>
        <w:t xml:space="preserve">In this </w:t>
      </w:r>
      <w:r>
        <w:rPr>
          <w:color w:val="0A0A0A"/>
        </w:rPr>
        <w:t>context</w:t>
      </w:r>
      <w:r>
        <w:t>, the Department defines Value for Money (</w:t>
      </w:r>
      <w:proofErr w:type="spellStart"/>
      <w:r>
        <w:t>VfM</w:t>
      </w:r>
      <w:proofErr w:type="spellEnd"/>
      <w:r>
        <w:t xml:space="preserve">) as the </w:t>
      </w:r>
      <w:r>
        <w:rPr>
          <w:b/>
        </w:rPr>
        <w:t>optimal balance between cost, quality, and sustainability</w:t>
      </w:r>
      <w:r>
        <w:t xml:space="preserve"> to meet customer requirements. </w:t>
      </w:r>
      <w:proofErr w:type="spellStart"/>
      <w:r>
        <w:t>VfM</w:t>
      </w:r>
      <w:proofErr w:type="spellEnd"/>
      <w:r>
        <w:t xml:space="preserve"> is not simply the lowest price; it is the optimal balance between cost paid and quality/benefits received</w:t>
      </w:r>
      <w:r>
        <w:t>—</w:t>
      </w:r>
      <w:r>
        <w:t xml:space="preserve">achieving the required level of service at appropriate quality for the lowest price consistent with that outcome. </w:t>
      </w:r>
    </w:p>
    <w:p w14:paraId="306C434D" w14:textId="77777777" w:rsidR="002C26E2" w:rsidRDefault="00812CB4">
      <w:pPr>
        <w:spacing w:after="349" w:line="265" w:lineRule="auto"/>
        <w:ind w:left="7"/>
      </w:pPr>
      <w:proofErr w:type="spellStart"/>
      <w:r>
        <w:rPr>
          <w:u w:val="single" w:color="000000"/>
        </w:rPr>
        <w:t>VfM</w:t>
      </w:r>
      <w:proofErr w:type="spellEnd"/>
      <w:r>
        <w:rPr>
          <w:u w:val="single" w:color="000000"/>
        </w:rPr>
        <w:t xml:space="preserve"> in the justice system: relevant observations</w:t>
      </w:r>
      <w:r>
        <w:t xml:space="preserve"> </w:t>
      </w:r>
    </w:p>
    <w:p w14:paraId="445EB3B2" w14:textId="77777777" w:rsidR="002C26E2" w:rsidRDefault="00812CB4">
      <w:pPr>
        <w:spacing w:after="181" w:line="360" w:lineRule="auto"/>
        <w:ind w:left="7" w:right="220"/>
      </w:pPr>
      <w:r>
        <w:rPr>
          <w:color w:val="0A0A0A"/>
        </w:rPr>
        <w:t xml:space="preserve">While achieving VFM is a core strategic aim for the Department and its agencies, recent independent assessments by the </w:t>
      </w:r>
      <w:r>
        <w:rPr>
          <w:b/>
          <w:color w:val="0A0A0A"/>
        </w:rPr>
        <w:t>Northern Ireland Audit Office (NIAO)</w:t>
      </w:r>
      <w:r>
        <w:rPr>
          <w:color w:val="0A0A0A"/>
        </w:rPr>
        <w:t xml:space="preserve"> have highlighted significant systemic challenges in demonstrating </w:t>
      </w:r>
      <w:proofErr w:type="spellStart"/>
      <w:proofErr w:type="gramStart"/>
      <w:r>
        <w:rPr>
          <w:color w:val="0A0A0A"/>
        </w:rPr>
        <w:t>it.The</w:t>
      </w:r>
      <w:proofErr w:type="spellEnd"/>
      <w:proofErr w:type="gramEnd"/>
      <w:r>
        <w:rPr>
          <w:color w:val="0A0A0A"/>
        </w:rPr>
        <w:t xml:space="preserve"> DoJ and its agencies integrate VFM into their long-term planning through specific focus areas: </w:t>
      </w:r>
    </w:p>
    <w:p w14:paraId="00207B86" w14:textId="77777777" w:rsidR="002C26E2" w:rsidRDefault="00812CB4">
      <w:pPr>
        <w:numPr>
          <w:ilvl w:val="0"/>
          <w:numId w:val="64"/>
        </w:numPr>
        <w:spacing w:after="181" w:line="360" w:lineRule="auto"/>
        <w:ind w:right="220" w:hanging="360"/>
      </w:pPr>
      <w:r>
        <w:rPr>
          <w:color w:val="0A0A0A"/>
        </w:rPr>
        <w:t xml:space="preserve">Controlled Financial Environments: Aiming to deliver high-quality services while maintaining stable and transparent financial and commercial operations. </w:t>
      </w:r>
    </w:p>
    <w:p w14:paraId="792F7E92" w14:textId="77777777" w:rsidR="002C26E2" w:rsidRDefault="00812CB4">
      <w:pPr>
        <w:numPr>
          <w:ilvl w:val="0"/>
          <w:numId w:val="64"/>
        </w:numPr>
        <w:spacing w:after="115" w:line="259" w:lineRule="auto"/>
        <w:ind w:right="220" w:hanging="360"/>
      </w:pPr>
      <w:r>
        <w:rPr>
          <w:color w:val="0A0A0A"/>
        </w:rPr>
        <w:t xml:space="preserve">Modernisation of the Estate: The Northern Ireland Courts and Tribunals </w:t>
      </w:r>
    </w:p>
    <w:p w14:paraId="2E179E67" w14:textId="77777777" w:rsidR="002C26E2" w:rsidRDefault="00812CB4">
      <w:pPr>
        <w:spacing w:after="181" w:line="360" w:lineRule="auto"/>
        <w:ind w:left="742" w:right="220"/>
      </w:pPr>
      <w:r>
        <w:rPr>
          <w:color w:val="0A0A0A"/>
        </w:rPr>
        <w:t xml:space="preserve">Service (NICTS) </w:t>
      </w:r>
      <w:r>
        <w:rPr>
          <w:color w:val="0A0A0A"/>
        </w:rPr>
        <w:t>"Making the Place for Justice" strategy (2021</w:t>
      </w:r>
      <w:r>
        <w:rPr>
          <w:color w:val="0A0A0A"/>
        </w:rPr>
        <w:t>–</w:t>
      </w:r>
      <w:r>
        <w:rPr>
          <w:color w:val="0A0A0A"/>
        </w:rPr>
        <w:t xml:space="preserve">2026) lists "Improved Value for Money" as a primary aim for modernising facilities. </w:t>
      </w:r>
    </w:p>
    <w:p w14:paraId="5B24A4EA" w14:textId="77777777" w:rsidR="002C26E2" w:rsidRDefault="00812CB4">
      <w:pPr>
        <w:numPr>
          <w:ilvl w:val="0"/>
          <w:numId w:val="64"/>
        </w:numPr>
        <w:spacing w:after="181" w:line="360" w:lineRule="auto"/>
        <w:ind w:right="220" w:hanging="360"/>
      </w:pPr>
      <w:r>
        <w:rPr>
          <w:color w:val="0A0A0A"/>
        </w:rPr>
        <w:t xml:space="preserve">Procurement Efficiency: The Northern Ireland Prison Service (NIPS) is actively evaluating procurement procedures and adopting electronic communication to ensure the most economic and efficient returns on investment. </w:t>
      </w:r>
    </w:p>
    <w:p w14:paraId="27D79A7F" w14:textId="77777777" w:rsidR="002C26E2" w:rsidRDefault="00812CB4">
      <w:pPr>
        <w:numPr>
          <w:ilvl w:val="0"/>
          <w:numId w:val="64"/>
        </w:numPr>
        <w:spacing w:after="239" w:line="360" w:lineRule="auto"/>
        <w:ind w:right="220" w:hanging="360"/>
      </w:pPr>
      <w:r>
        <w:rPr>
          <w:color w:val="0A0A0A"/>
        </w:rPr>
        <w:t xml:space="preserve">Digital Transformation: Utilising digital strategies to improve the speed and efficiency of the justice system, though this is often balanced against mounting resource challenges. </w:t>
      </w:r>
    </w:p>
    <w:p w14:paraId="154ECCC9" w14:textId="77FA22F5" w:rsidR="002C26E2" w:rsidRDefault="00812CB4" w:rsidP="008F6F08">
      <w:pPr>
        <w:numPr>
          <w:ilvl w:val="0"/>
          <w:numId w:val="64"/>
        </w:numPr>
        <w:spacing w:after="181" w:line="360" w:lineRule="auto"/>
        <w:ind w:right="220" w:hanging="360"/>
      </w:pPr>
      <w:r>
        <w:rPr>
          <w:color w:val="0A0A0A"/>
        </w:rPr>
        <w:t>Independent reports from the</w:t>
      </w:r>
      <w:hyperlink r:id="rId19">
        <w:r>
          <w:rPr>
            <w:color w:val="0A0A0A"/>
          </w:rPr>
          <w:t xml:space="preserve"> </w:t>
        </w:r>
      </w:hyperlink>
      <w:hyperlink r:id="rId20" w:history="1">
        <w:r w:rsidR="008F6F08" w:rsidRPr="008F6F08">
          <w:rPr>
            <w:rStyle w:val="Hyperlink"/>
          </w:rPr>
          <w:t>Northern Ireland Audit Office</w:t>
        </w:r>
      </w:hyperlink>
      <w:r w:rsidR="008F6F08" w:rsidRPr="008F6F08">
        <w:rPr>
          <w:color w:val="0A0A0A"/>
        </w:rPr>
        <w:t xml:space="preserve"> </w:t>
      </w:r>
      <w:r w:rsidRPr="008F6F08">
        <w:rPr>
          <w:color w:val="0A0A0A"/>
        </w:rPr>
        <w:t xml:space="preserve">(NIAO) have identified areas where VFM is not yet being fully realised:  </w:t>
      </w:r>
    </w:p>
    <w:p w14:paraId="0B12FBE9" w14:textId="77777777" w:rsidR="002C26E2" w:rsidRPr="008F6F08" w:rsidRDefault="00812CB4">
      <w:pPr>
        <w:numPr>
          <w:ilvl w:val="0"/>
          <w:numId w:val="64"/>
        </w:numPr>
        <w:spacing w:after="181" w:line="360" w:lineRule="auto"/>
        <w:ind w:right="220" w:hanging="360"/>
      </w:pPr>
      <w:r>
        <w:rPr>
          <w:color w:val="0A0A0A"/>
        </w:rPr>
        <w:t xml:space="preserve">Systemic Inefficiencies: A landmark NIAO report stated that the criminal justice system in NI generally does not deliver VFM because costs are significantly higher and cases take longer to complete than in England and Wales, with no corresponding increase in benefit. </w:t>
      </w:r>
    </w:p>
    <w:p w14:paraId="7256D8A8" w14:textId="77777777" w:rsidR="002C26E2" w:rsidRDefault="00812CB4">
      <w:pPr>
        <w:numPr>
          <w:ilvl w:val="0"/>
          <w:numId w:val="64"/>
        </w:numPr>
        <w:spacing w:after="181" w:line="360" w:lineRule="auto"/>
        <w:ind w:right="220" w:hanging="360"/>
      </w:pPr>
      <w:r>
        <w:rPr>
          <w:color w:val="0A0A0A"/>
        </w:rPr>
        <w:t xml:space="preserve">Civil Service Reform: A 2026 report found that the wider Northern Ireland Civil Service (NICS) has failed to deliver necessary reforms at the required pace to demonstrate VFM, noting a persistent reliance on temporary staff and worsening sickness absence. </w:t>
      </w:r>
    </w:p>
    <w:p w14:paraId="08C29C05" w14:textId="77777777" w:rsidR="002C26E2" w:rsidRDefault="00812CB4">
      <w:pPr>
        <w:numPr>
          <w:ilvl w:val="0"/>
          <w:numId w:val="64"/>
        </w:numPr>
        <w:spacing w:after="181" w:line="360" w:lineRule="auto"/>
        <w:ind w:right="220" w:hanging="360"/>
      </w:pPr>
      <w:r>
        <w:rPr>
          <w:color w:val="0A0A0A"/>
        </w:rPr>
        <w:t xml:space="preserve">Financial Pressures: Agencies like the NIPS report that "insufficient funding" and "rising prisoner populations" create significant challenges in maintaining rehabilitation services, which are critical for public safety and long-term </w:t>
      </w:r>
      <w:proofErr w:type="spellStart"/>
      <w:r>
        <w:rPr>
          <w:color w:val="0A0A0A"/>
        </w:rPr>
        <w:t>costeffectiveness</w:t>
      </w:r>
      <w:proofErr w:type="spellEnd"/>
      <w:r>
        <w:rPr>
          <w:color w:val="0A0A0A"/>
        </w:rPr>
        <w:t xml:space="preserve">. </w:t>
      </w:r>
    </w:p>
    <w:p w14:paraId="2CE83061" w14:textId="77777777" w:rsidR="002C26E2" w:rsidRDefault="00812CB4">
      <w:pPr>
        <w:numPr>
          <w:ilvl w:val="0"/>
          <w:numId w:val="64"/>
        </w:numPr>
        <w:spacing w:after="181" w:line="360" w:lineRule="auto"/>
        <w:ind w:right="220" w:hanging="360"/>
      </w:pPr>
      <w:r>
        <w:rPr>
          <w:color w:val="0A0A0A"/>
        </w:rPr>
        <w:t xml:space="preserve">Collaborative Infrastructure: Improvements in VFM are hindered by a lack of shared infrastructure that would allow different justice organisations to operate as a cohesive, collaborative system </w:t>
      </w:r>
    </w:p>
    <w:p w14:paraId="70A41E1A" w14:textId="77777777" w:rsidR="00444ECE" w:rsidRDefault="00444ECE">
      <w:pPr>
        <w:spacing w:after="349" w:line="265" w:lineRule="auto"/>
        <w:ind w:left="7"/>
        <w:rPr>
          <w:u w:val="single" w:color="000000"/>
        </w:rPr>
      </w:pPr>
    </w:p>
    <w:p w14:paraId="6294B46E" w14:textId="35C56443" w:rsidR="002C26E2" w:rsidRDefault="00812CB4">
      <w:pPr>
        <w:spacing w:after="349" w:line="265" w:lineRule="auto"/>
        <w:ind w:left="7"/>
      </w:pPr>
      <w:r>
        <w:rPr>
          <w:u w:val="single" w:color="000000"/>
        </w:rPr>
        <w:t>Value for Money in Criminal Cases</w:t>
      </w:r>
      <w:r>
        <w:t xml:space="preserve"> </w:t>
      </w:r>
    </w:p>
    <w:p w14:paraId="7DDACCD4" w14:textId="77777777" w:rsidR="002C26E2" w:rsidRDefault="00812CB4">
      <w:pPr>
        <w:spacing w:after="0" w:line="360" w:lineRule="auto"/>
        <w:ind w:left="7" w:right="220"/>
      </w:pPr>
      <w:r>
        <w:rPr>
          <w:color w:val="0A0A0A"/>
        </w:rPr>
        <w:t xml:space="preserve">We considered the comments above from NIAO, where they believe that the </w:t>
      </w:r>
      <w:r>
        <w:rPr>
          <w:color w:val="0A0A0A"/>
        </w:rPr>
        <w:t xml:space="preserve">“criminal justice system in NI generally does not deliver VFM because costs are </w:t>
      </w:r>
      <w:r>
        <w:rPr>
          <w:color w:val="0A0A0A"/>
        </w:rPr>
        <w:t>significantly higher and cases take longer to complete than in England and Wales, with no corresponding increase in b</w:t>
      </w:r>
      <w:r>
        <w:rPr>
          <w:color w:val="0A0A0A"/>
        </w:rPr>
        <w:t>enefit.”</w:t>
      </w:r>
      <w:r>
        <w:rPr>
          <w:color w:val="0A0A0A"/>
        </w:rPr>
        <w:t xml:space="preserve"> </w:t>
      </w:r>
    </w:p>
    <w:p w14:paraId="4DF0DE4C" w14:textId="77777777" w:rsidR="002C26E2" w:rsidRDefault="00812CB4">
      <w:pPr>
        <w:spacing w:after="241" w:line="360" w:lineRule="auto"/>
        <w:ind w:left="7" w:right="220"/>
      </w:pPr>
      <w:r>
        <w:rPr>
          <w:color w:val="0A0A0A"/>
        </w:rPr>
        <w:t xml:space="preserve">Some would state that it’s like comparing apples with oranges and the systems have </w:t>
      </w:r>
      <w:r>
        <w:rPr>
          <w:color w:val="0A0A0A"/>
        </w:rPr>
        <w:t xml:space="preserve">some significant differences. While this may be true to an extent, there is still an issue with the current costs of providing a criminal legal aid system that provides demonstratable </w:t>
      </w:r>
      <w:proofErr w:type="spellStart"/>
      <w:r>
        <w:rPr>
          <w:color w:val="0A0A0A"/>
        </w:rPr>
        <w:t>VfM</w:t>
      </w:r>
      <w:proofErr w:type="spellEnd"/>
      <w:r>
        <w:rPr>
          <w:color w:val="0A0A0A"/>
        </w:rPr>
        <w:t xml:space="preserve"> in Northern Ireland. </w:t>
      </w:r>
    </w:p>
    <w:p w14:paraId="2C8CD810" w14:textId="77777777" w:rsidR="002C26E2" w:rsidRDefault="00812CB4">
      <w:pPr>
        <w:spacing w:after="428"/>
        <w:ind w:left="7" w:right="225"/>
      </w:pPr>
      <w:r>
        <w:t xml:space="preserve">Chapter 9 of the Fundamental Review, ‘Defining the Value of Legal Aid’, sets out </w:t>
      </w:r>
      <w:r>
        <w:t xml:space="preserve">several benefits delivered by legal aid services which have been identified in </w:t>
      </w:r>
      <w:proofErr w:type="gramStart"/>
      <w:r>
        <w:t>a number of</w:t>
      </w:r>
      <w:proofErr w:type="gramEnd"/>
      <w:r>
        <w:t xml:space="preserve"> reports and surveys, national and international. These were grouped under (A) Efficiency in the Justice System: (B) Value to the individual through improved legal outcomes: and (C) Value on a wider governmental and societal basis of outcomes achieved through improved legal outcomes. However, while much is said and written about these benefits emanating from the provision of legal aid in the criminal justice system, an</w:t>
      </w:r>
      <w:r>
        <w:t xml:space="preserve">d there appears to be empirical evidence to support those potential outcomes, the Fundamental Review recommended that a project be undertaken to establish the necessary data required to inform and quantify those values. </w:t>
      </w:r>
      <w:r>
        <w:rPr>
          <w:b/>
          <w:i/>
        </w:rPr>
        <w:t xml:space="preserve"> </w:t>
      </w:r>
    </w:p>
    <w:p w14:paraId="3249981C" w14:textId="77777777" w:rsidR="002C26E2" w:rsidRDefault="00812CB4">
      <w:pPr>
        <w:pStyle w:val="Heading2"/>
        <w:ind w:left="849" w:right="200" w:hanging="852"/>
      </w:pPr>
      <w:bookmarkStart w:id="87" w:name="_Toc107625"/>
      <w:r>
        <w:rPr>
          <w:color w:val="004E9A"/>
          <w:sz w:val="28"/>
        </w:rPr>
        <w:t>R</w:t>
      </w:r>
      <w:r>
        <w:rPr>
          <w:color w:val="004E9A"/>
        </w:rPr>
        <w:t>ISK OF FEE INCREASES WITHOUT SYSTEM REFORM</w:t>
      </w:r>
      <w:r>
        <w:rPr>
          <w:color w:val="004E9A"/>
          <w:sz w:val="24"/>
        </w:rPr>
        <w:t xml:space="preserve"> </w:t>
      </w:r>
      <w:bookmarkEnd w:id="87"/>
    </w:p>
    <w:p w14:paraId="4C5D29C9" w14:textId="77777777" w:rsidR="002C26E2" w:rsidRDefault="00812CB4">
      <w:pPr>
        <w:spacing w:after="239" w:line="360" w:lineRule="auto"/>
        <w:ind w:left="7" w:right="220"/>
      </w:pPr>
      <w:r>
        <w:t xml:space="preserve">By </w:t>
      </w:r>
      <w:r>
        <w:rPr>
          <w:color w:val="0A0A0A"/>
        </w:rPr>
        <w:t>considering</w:t>
      </w:r>
      <w:r>
        <w:t xml:space="preserve"> further increases to set fees or hourly rates, </w:t>
      </w:r>
      <w:r>
        <w:rPr>
          <w:color w:val="0A0A0A"/>
        </w:rPr>
        <w:t xml:space="preserve">without fundamental reform to change the systems, such increases are only likely to acerbate the existing problems.  </w:t>
      </w:r>
    </w:p>
    <w:p w14:paraId="2D18E607" w14:textId="77777777" w:rsidR="002C26E2" w:rsidRDefault="00812CB4">
      <w:pPr>
        <w:ind w:left="7" w:right="225"/>
      </w:pPr>
      <w:r>
        <w:rPr>
          <w:color w:val="0A0A0A"/>
        </w:rPr>
        <w:t xml:space="preserve">Therefore, demonstrating </w:t>
      </w:r>
      <w:proofErr w:type="spellStart"/>
      <w:r>
        <w:rPr>
          <w:color w:val="0A0A0A"/>
        </w:rPr>
        <w:t>VfM</w:t>
      </w:r>
      <w:proofErr w:type="spellEnd"/>
      <w:r>
        <w:rPr>
          <w:color w:val="0A0A0A"/>
        </w:rPr>
        <w:t xml:space="preserve"> in criminal legal aid is </w:t>
      </w:r>
      <w:r>
        <w:t xml:space="preserve">only likely to be possible with </w:t>
      </w:r>
      <w:r>
        <w:t xml:space="preserve">the aforementioned “fundamental change”, something we would recommend the </w:t>
      </w:r>
      <w:r>
        <w:t xml:space="preserve">Department start to consider as part of a wider fundamental review of the criminal justice system in Northern Ireland, as noted earlier in this Report. </w:t>
      </w:r>
    </w:p>
    <w:p w14:paraId="2F3D6480" w14:textId="77777777" w:rsidR="002C26E2" w:rsidRDefault="00812CB4">
      <w:pPr>
        <w:pStyle w:val="Heading2"/>
        <w:ind w:left="849" w:right="200" w:hanging="852"/>
      </w:pPr>
      <w:bookmarkStart w:id="88" w:name="_Toc107626"/>
      <w:r>
        <w:rPr>
          <w:color w:val="004E9A"/>
          <w:sz w:val="28"/>
        </w:rPr>
        <w:t>C</w:t>
      </w:r>
      <w:r>
        <w:rPr>
          <w:color w:val="004E9A"/>
        </w:rPr>
        <w:t>ONCLUSION</w:t>
      </w:r>
      <w:r>
        <w:rPr>
          <w:color w:val="000000"/>
          <w:sz w:val="28"/>
        </w:rPr>
        <w:t xml:space="preserve"> </w:t>
      </w:r>
      <w:bookmarkEnd w:id="88"/>
    </w:p>
    <w:p w14:paraId="614540B0" w14:textId="77777777" w:rsidR="002C26E2" w:rsidRDefault="00812CB4">
      <w:pPr>
        <w:spacing w:after="114"/>
        <w:ind w:left="7" w:right="225"/>
      </w:pPr>
      <w:r>
        <w:t xml:space="preserve">The </w:t>
      </w:r>
      <w:r>
        <w:rPr>
          <w:color w:val="0A0A0A"/>
        </w:rPr>
        <w:t>sections</w:t>
      </w:r>
      <w:r>
        <w:t xml:space="preserve"> covering Affordability and Value for Money can be summarised as follows: </w:t>
      </w:r>
    </w:p>
    <w:p w14:paraId="38CF9700" w14:textId="77777777" w:rsidR="002C26E2" w:rsidRDefault="00812CB4">
      <w:pPr>
        <w:numPr>
          <w:ilvl w:val="0"/>
          <w:numId w:val="65"/>
        </w:numPr>
        <w:spacing w:after="114"/>
        <w:ind w:right="225" w:hanging="355"/>
      </w:pPr>
      <w:r>
        <w:t xml:space="preserve">The statutory criteria require regard to time and skill, competence, cost to public funds, and value for money. </w:t>
      </w:r>
    </w:p>
    <w:p w14:paraId="0EE0A688" w14:textId="77777777" w:rsidR="002C26E2" w:rsidRDefault="00812CB4">
      <w:pPr>
        <w:numPr>
          <w:ilvl w:val="0"/>
          <w:numId w:val="65"/>
        </w:numPr>
        <w:spacing w:after="112"/>
        <w:ind w:right="225" w:hanging="355"/>
      </w:pPr>
      <w:r>
        <w:t xml:space="preserve">The Review Team has produced recommendations without using affordability as a determinant but recognises affordability as integral to implementation and expressly referenced in the Terms of Reference (Clause 21). </w:t>
      </w:r>
    </w:p>
    <w:p w14:paraId="5B61667A" w14:textId="77777777" w:rsidR="002C26E2" w:rsidRDefault="00812CB4">
      <w:pPr>
        <w:numPr>
          <w:ilvl w:val="0"/>
          <w:numId w:val="65"/>
        </w:numPr>
        <w:spacing w:after="0"/>
        <w:ind w:right="225" w:hanging="355"/>
      </w:pPr>
      <w:proofErr w:type="spellStart"/>
      <w:r>
        <w:t>VfM</w:t>
      </w:r>
      <w:proofErr w:type="spellEnd"/>
      <w:r>
        <w:t xml:space="preserve"> is a required consideration, and the section highlights that systemic </w:t>
      </w:r>
      <w:proofErr w:type="spellStart"/>
      <w:r>
        <w:t>VfM</w:t>
      </w:r>
      <w:proofErr w:type="spellEnd"/>
      <w:r>
        <w:t xml:space="preserve"> issues in the justice system reinforce the need to view fee changes alongside broader reform. </w:t>
      </w:r>
    </w:p>
    <w:p w14:paraId="42A54391" w14:textId="77777777" w:rsidR="002C26E2" w:rsidRDefault="00812CB4">
      <w:pPr>
        <w:spacing w:after="331" w:line="259" w:lineRule="auto"/>
        <w:ind w:left="12" w:firstLine="0"/>
      </w:pPr>
      <w:r>
        <w:rPr>
          <w:color w:val="0A0A0A"/>
        </w:rPr>
        <w:t xml:space="preserve">  </w:t>
      </w:r>
    </w:p>
    <w:p w14:paraId="591DE512" w14:textId="77777777" w:rsidR="002C26E2" w:rsidRDefault="00812CB4">
      <w:pPr>
        <w:spacing w:after="319" w:line="259" w:lineRule="auto"/>
        <w:ind w:left="444" w:firstLine="0"/>
      </w:pPr>
      <w:r>
        <w:rPr>
          <w:color w:val="424996"/>
          <w:sz w:val="28"/>
        </w:rPr>
        <w:t xml:space="preserve"> </w:t>
      </w:r>
    </w:p>
    <w:p w14:paraId="6AE9C3BF" w14:textId="77777777" w:rsidR="002C26E2" w:rsidRDefault="00812CB4">
      <w:pPr>
        <w:spacing w:after="0" w:line="259" w:lineRule="auto"/>
        <w:ind w:left="12" w:firstLine="0"/>
      </w:pPr>
      <w:r>
        <w:rPr>
          <w:color w:val="424996"/>
          <w:sz w:val="28"/>
        </w:rPr>
        <w:t xml:space="preserve"> </w:t>
      </w:r>
      <w:r>
        <w:rPr>
          <w:color w:val="424996"/>
          <w:sz w:val="28"/>
        </w:rPr>
        <w:tab/>
        <w:t xml:space="preserve"> </w:t>
      </w:r>
      <w:r>
        <w:br w:type="page"/>
      </w:r>
    </w:p>
    <w:p w14:paraId="250758EB" w14:textId="77777777" w:rsidR="002C26E2" w:rsidRDefault="00812CB4">
      <w:pPr>
        <w:pStyle w:val="Heading1"/>
        <w:spacing w:after="0" w:line="259" w:lineRule="auto"/>
        <w:ind w:left="849" w:hanging="852"/>
      </w:pPr>
      <w:bookmarkStart w:id="89" w:name="_Toc107627"/>
      <w:r>
        <w:rPr>
          <w:color w:val="004E9A"/>
          <w:sz w:val="36"/>
        </w:rPr>
        <w:t>C</w:t>
      </w:r>
      <w:r>
        <w:rPr>
          <w:color w:val="004E9A"/>
          <w:sz w:val="29"/>
        </w:rPr>
        <w:t xml:space="preserve">ONCLUSIONS AND </w:t>
      </w:r>
      <w:r>
        <w:rPr>
          <w:color w:val="004E9A"/>
          <w:sz w:val="36"/>
        </w:rPr>
        <w:t>S</w:t>
      </w:r>
      <w:r>
        <w:rPr>
          <w:color w:val="004E9A"/>
          <w:sz w:val="29"/>
        </w:rPr>
        <w:t xml:space="preserve">UMMARY OF </w:t>
      </w:r>
      <w:r>
        <w:rPr>
          <w:color w:val="004E9A"/>
          <w:sz w:val="36"/>
        </w:rPr>
        <w:t>R</w:t>
      </w:r>
      <w:r>
        <w:rPr>
          <w:color w:val="004E9A"/>
          <w:sz w:val="29"/>
        </w:rPr>
        <w:t xml:space="preserve">ECOMMENDATIONS </w:t>
      </w:r>
      <w:r>
        <w:rPr>
          <w:color w:val="004E9A"/>
          <w:sz w:val="36"/>
        </w:rPr>
        <w:t xml:space="preserve"> </w:t>
      </w:r>
      <w:bookmarkEnd w:id="89"/>
    </w:p>
    <w:p w14:paraId="25EB03D1" w14:textId="77777777" w:rsidR="002C26E2" w:rsidRDefault="00812CB4">
      <w:pPr>
        <w:spacing w:after="452" w:line="259" w:lineRule="auto"/>
        <w:ind w:left="-17" w:firstLine="0"/>
      </w:pPr>
      <w:r>
        <w:rPr>
          <w:rFonts w:ascii="Calibri" w:eastAsia="Calibri" w:hAnsi="Calibri" w:cs="Calibri"/>
          <w:noProof/>
          <w:sz w:val="22"/>
        </w:rPr>
        <mc:AlternateContent>
          <mc:Choice Requires="wpg">
            <w:drawing>
              <wp:inline distT="0" distB="0" distL="0" distR="0" wp14:anchorId="0375ABB0" wp14:editId="54483722">
                <wp:extent cx="5769610" cy="6096"/>
                <wp:effectExtent l="0" t="0" r="0" b="0"/>
                <wp:docPr id="103792" name="Group 103792"/>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110019" name="Shape 110019"/>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g:wgp>
                  </a:graphicData>
                </a:graphic>
              </wp:inline>
            </w:drawing>
          </mc:Choice>
          <mc:Fallback xmlns:a="http://schemas.openxmlformats.org/drawingml/2006/main">
            <w:pict>
              <v:group id="Group 103792" style="width:454.3pt;height:0.47998pt;mso-position-horizontal-relative:char;mso-position-vertical-relative:line" coordsize="57696,60">
                <v:shape id="Shape 110020" style="position:absolute;width:57696;height:91;left:0;top:0;" coordsize="5769610,9144" path="m0,0l5769610,0l5769610,9144l0,9144l0,0">
                  <v:stroke weight="0pt" endcap="flat" joinstyle="miter" miterlimit="10" on="false" color="#000000" opacity="0"/>
                  <v:fill on="true" color="#595959"/>
                </v:shape>
              </v:group>
            </w:pict>
          </mc:Fallback>
        </mc:AlternateContent>
      </w:r>
    </w:p>
    <w:p w14:paraId="43FE379A" w14:textId="77777777" w:rsidR="002C26E2" w:rsidRDefault="00812CB4">
      <w:pPr>
        <w:pStyle w:val="Heading2"/>
        <w:spacing w:after="301"/>
        <w:ind w:left="849" w:right="200" w:hanging="852"/>
      </w:pPr>
      <w:bookmarkStart w:id="90" w:name="_Toc107628"/>
      <w:r>
        <w:rPr>
          <w:color w:val="004E9A"/>
          <w:sz w:val="28"/>
        </w:rPr>
        <w:t>H</w:t>
      </w:r>
      <w:r>
        <w:rPr>
          <w:color w:val="004E9A"/>
        </w:rPr>
        <w:t>EADLINE CONCLUSIONS</w:t>
      </w:r>
      <w:r>
        <w:rPr>
          <w:color w:val="004E9A"/>
          <w:sz w:val="28"/>
        </w:rPr>
        <w:t xml:space="preserve"> </w:t>
      </w:r>
      <w:bookmarkEnd w:id="90"/>
    </w:p>
    <w:p w14:paraId="0AA7DE26" w14:textId="77777777" w:rsidR="002C26E2" w:rsidRDefault="00812CB4">
      <w:pPr>
        <w:spacing w:after="193"/>
        <w:ind w:left="717" w:right="225" w:hanging="720"/>
      </w:pPr>
      <w:r>
        <w:t xml:space="preserve">12.1.1 </w:t>
      </w:r>
      <w:r>
        <w:rPr>
          <w:b/>
        </w:rPr>
        <w:t xml:space="preserve">Inflation is not, by itself, a sufficiently robust basis for determining further fee uplifts </w:t>
      </w:r>
      <w:r>
        <w:t>within the Accelerated Review, given volatility, divergence between measures, and the difficulty of selecting an objectively appropriate inflation index.</w:t>
      </w:r>
      <w:r>
        <w:rPr>
          <w:b/>
        </w:rPr>
        <w:t xml:space="preserve"> </w:t>
      </w:r>
    </w:p>
    <w:p w14:paraId="65020B0E" w14:textId="77777777" w:rsidR="002C26E2" w:rsidRDefault="00812CB4">
      <w:pPr>
        <w:spacing w:after="195"/>
        <w:ind w:left="717" w:right="225" w:hanging="720"/>
      </w:pPr>
      <w:r>
        <w:t xml:space="preserve">12.1.2 </w:t>
      </w:r>
      <w:r>
        <w:rPr>
          <w:b/>
        </w:rPr>
        <w:t xml:space="preserve">Wage-based public-sector comparators provide a more defensible benchmark. </w:t>
      </w:r>
      <w:r>
        <w:t>The Review Team therefore used comparator sectors within the publicly funded NI system (Senior Civil Service and the Judiciary) to inform a recommended range</w:t>
      </w:r>
      <w:r>
        <w:rPr>
          <w:b/>
        </w:rPr>
        <w:t xml:space="preserve">. </w:t>
      </w:r>
    </w:p>
    <w:p w14:paraId="1A6EFB38" w14:textId="77777777" w:rsidR="002C26E2" w:rsidRDefault="00812CB4">
      <w:pPr>
        <w:spacing w:after="0"/>
        <w:ind w:left="717" w:right="225" w:hanging="720"/>
      </w:pPr>
      <w:r>
        <w:t xml:space="preserve">12.1.3 </w:t>
      </w:r>
      <w:r>
        <w:rPr>
          <w:b/>
        </w:rPr>
        <w:t xml:space="preserve">Standard </w:t>
      </w:r>
      <w:r>
        <w:rPr>
          <w:b/>
        </w:rPr>
        <w:t xml:space="preserve">fees: recommend an overall uplift of 26.05% (subject to affordability), </w:t>
      </w:r>
      <w:r>
        <w:t xml:space="preserve">of which 16% has already been implemented for relevant fees; this implies an additional uplift on already-uplifted fees of approximately </w:t>
      </w:r>
    </w:p>
    <w:p w14:paraId="2EA852BC" w14:textId="77777777" w:rsidR="002C26E2" w:rsidRDefault="00812CB4">
      <w:pPr>
        <w:spacing w:after="319" w:line="259" w:lineRule="auto"/>
        <w:ind w:left="730" w:right="225"/>
      </w:pPr>
      <w:r>
        <w:t>8.66% to reach the overall position.</w:t>
      </w:r>
      <w:r>
        <w:rPr>
          <w:b/>
        </w:rPr>
        <w:t xml:space="preserve"> </w:t>
      </w:r>
    </w:p>
    <w:p w14:paraId="0A7AC367" w14:textId="77777777" w:rsidR="002C26E2" w:rsidRDefault="00812CB4">
      <w:pPr>
        <w:spacing w:after="204" w:line="359" w:lineRule="auto"/>
        <w:ind w:left="717" w:hanging="720"/>
      </w:pPr>
      <w:r>
        <w:t xml:space="preserve">12.1.4 </w:t>
      </w:r>
      <w:r>
        <w:rPr>
          <w:b/>
        </w:rPr>
        <w:t xml:space="preserve">Exceptional Preparation (EP) is being used extensively to remunerate routine reading </w:t>
      </w:r>
      <w:r>
        <w:t xml:space="preserve">work (notably PPE), indicating misalignment between EP’s </w:t>
      </w:r>
      <w:r>
        <w:t>intended purpose and its current use in practice.</w:t>
      </w:r>
      <w:r>
        <w:rPr>
          <w:b/>
        </w:rPr>
        <w:t xml:space="preserve"> </w:t>
      </w:r>
    </w:p>
    <w:p w14:paraId="22A6F660" w14:textId="77777777" w:rsidR="002C26E2" w:rsidRDefault="00812CB4">
      <w:pPr>
        <w:spacing w:after="426"/>
        <w:ind w:left="717" w:right="225" w:hanging="720"/>
      </w:pPr>
      <w:r>
        <w:t xml:space="preserve">12.1.5 </w:t>
      </w:r>
      <w:r>
        <w:rPr>
          <w:b/>
        </w:rPr>
        <w:t xml:space="preserve">Targeted reform (PPE and AV) can reduce administrative burden </w:t>
      </w:r>
      <w:r>
        <w:t>and improve transparency, while better aligning payment with the underlying work and supporting value for money.</w:t>
      </w:r>
      <w:r>
        <w:rPr>
          <w:b/>
        </w:rPr>
        <w:t xml:space="preserve"> </w:t>
      </w:r>
    </w:p>
    <w:p w14:paraId="7A467DF0" w14:textId="77777777" w:rsidR="002C26E2" w:rsidRDefault="00812CB4">
      <w:pPr>
        <w:pStyle w:val="Heading2"/>
        <w:ind w:left="849" w:right="200" w:hanging="852"/>
      </w:pPr>
      <w:bookmarkStart w:id="91" w:name="_Toc107629"/>
      <w:r>
        <w:rPr>
          <w:color w:val="004E9A"/>
          <w:sz w:val="28"/>
        </w:rPr>
        <w:t>S</w:t>
      </w:r>
      <w:r>
        <w:rPr>
          <w:color w:val="004E9A"/>
        </w:rPr>
        <w:t>UMMARY OF KEY RECOMMENDATIONS</w:t>
      </w:r>
      <w:r>
        <w:rPr>
          <w:color w:val="004E9A"/>
          <w:sz w:val="28"/>
        </w:rPr>
        <w:t xml:space="preserve"> </w:t>
      </w:r>
      <w:bookmarkEnd w:id="91"/>
    </w:p>
    <w:p w14:paraId="7D5A61CF" w14:textId="77777777" w:rsidR="002C26E2" w:rsidRDefault="00812CB4">
      <w:pPr>
        <w:spacing w:after="229" w:line="265" w:lineRule="auto"/>
        <w:ind w:left="7"/>
      </w:pPr>
      <w:r>
        <w:rPr>
          <w:u w:val="single" w:color="000000"/>
        </w:rPr>
        <w:t>Section 3.5: Standard fees (general uplift)</w:t>
      </w:r>
      <w:r>
        <w:t xml:space="preserve"> </w:t>
      </w:r>
    </w:p>
    <w:p w14:paraId="0F674BB2" w14:textId="77777777" w:rsidR="002C26E2" w:rsidRDefault="00812CB4">
      <w:pPr>
        <w:spacing w:after="113" w:line="265" w:lineRule="auto"/>
        <w:ind w:left="7"/>
      </w:pPr>
      <w:r>
        <w:rPr>
          <w:b/>
        </w:rPr>
        <w:t>Recommendation 1.</w:t>
      </w:r>
      <w:r>
        <w:t xml:space="preserve">  </w:t>
      </w:r>
    </w:p>
    <w:p w14:paraId="08CFAB22" w14:textId="77777777" w:rsidR="002C26E2" w:rsidRDefault="00812CB4">
      <w:pPr>
        <w:spacing w:after="152"/>
        <w:ind w:left="7" w:right="225"/>
      </w:pPr>
      <w:r>
        <w:t xml:space="preserve">Apply an overall uplift of </w:t>
      </w:r>
      <w:r>
        <w:rPr>
          <w:b/>
        </w:rPr>
        <w:t>26.05%</w:t>
      </w:r>
      <w:r>
        <w:t xml:space="preserve"> </w:t>
      </w:r>
      <w:r>
        <w:t xml:space="preserve">to standard fees in the Magistrates’ Court and </w:t>
      </w:r>
      <w:r>
        <w:t xml:space="preserve">Crown Court for both barristers and solicitors, </w:t>
      </w:r>
      <w:r>
        <w:rPr>
          <w:b/>
        </w:rPr>
        <w:t>subject to affordability</w:t>
      </w:r>
      <w:r>
        <w:t xml:space="preserve">, noting that 16% has already been implemented for relevant fees. </w:t>
      </w:r>
    </w:p>
    <w:p w14:paraId="21E4E50F" w14:textId="77777777" w:rsidR="002C26E2" w:rsidRDefault="00812CB4">
      <w:pPr>
        <w:spacing w:line="259" w:lineRule="auto"/>
        <w:ind w:left="12" w:firstLine="0"/>
      </w:pPr>
      <w:r>
        <w:rPr>
          <w:b/>
        </w:rPr>
        <w:t xml:space="preserve"> </w:t>
      </w:r>
    </w:p>
    <w:p w14:paraId="20ED97C0" w14:textId="77777777" w:rsidR="002C26E2" w:rsidRDefault="00812CB4">
      <w:pPr>
        <w:spacing w:after="113" w:line="265" w:lineRule="auto"/>
        <w:ind w:left="7"/>
      </w:pPr>
      <w:r>
        <w:rPr>
          <w:b/>
        </w:rPr>
        <w:t>Recommendation 2.</w:t>
      </w:r>
      <w:r>
        <w:t xml:space="preserve">  </w:t>
      </w:r>
    </w:p>
    <w:p w14:paraId="55E35220" w14:textId="77777777" w:rsidR="002C26E2" w:rsidRDefault="00812CB4">
      <w:pPr>
        <w:ind w:left="7" w:right="225"/>
      </w:pPr>
      <w:r>
        <w:t xml:space="preserve">Exclude from the general uplift items not covered by the prior 16% uplift and/or dealt </w:t>
      </w:r>
      <w:r>
        <w:t xml:space="preserve">with separately in this report (including: Magistrates’ Court EP; travel and mileage; </w:t>
      </w:r>
      <w:r>
        <w:t xml:space="preserve">and in the Crown Court, AV review, consultations, sentencing skeleton arguments, EP, additional PPE fee, and travel and mileage). </w:t>
      </w:r>
    </w:p>
    <w:p w14:paraId="0CD28A5E" w14:textId="77777777" w:rsidR="002C26E2" w:rsidRDefault="00812CB4">
      <w:pPr>
        <w:spacing w:after="229" w:line="265" w:lineRule="auto"/>
        <w:ind w:left="7"/>
      </w:pPr>
      <w:r>
        <w:rPr>
          <w:u w:val="single" w:color="000000"/>
        </w:rPr>
        <w:t>Section 5.5: Exceptional Preparation and PPE (Crown Court</w:t>
      </w:r>
      <w:r>
        <w:rPr>
          <w:b/>
        </w:rPr>
        <w:t xml:space="preserve">) </w:t>
      </w:r>
    </w:p>
    <w:p w14:paraId="0412EB7A" w14:textId="77777777" w:rsidR="002C26E2" w:rsidRDefault="00812CB4">
      <w:pPr>
        <w:spacing w:after="113" w:line="265" w:lineRule="auto"/>
        <w:ind w:left="7"/>
      </w:pPr>
      <w:r>
        <w:rPr>
          <w:b/>
        </w:rPr>
        <w:t>Recommendation 3.</w:t>
      </w:r>
      <w:r>
        <w:t xml:space="preserve">  </w:t>
      </w:r>
    </w:p>
    <w:p w14:paraId="64E06B0E" w14:textId="77777777" w:rsidR="002C26E2" w:rsidRDefault="00812CB4">
      <w:pPr>
        <w:spacing w:after="152"/>
        <w:ind w:left="7" w:right="225"/>
      </w:pPr>
      <w:r>
        <w:t xml:space="preserve">EP should no longer be used for reading additional Crown Court PPE, except in genuinely exceptional circumstances. </w:t>
      </w:r>
    </w:p>
    <w:p w14:paraId="1077D9B9" w14:textId="77777777" w:rsidR="002C26E2" w:rsidRDefault="00812CB4">
      <w:pPr>
        <w:spacing w:after="113" w:line="265" w:lineRule="auto"/>
        <w:ind w:left="7"/>
      </w:pPr>
      <w:r>
        <w:rPr>
          <w:b/>
        </w:rPr>
        <w:t>Recommendation 4.</w:t>
      </w:r>
      <w:r>
        <w:t xml:space="preserve">  </w:t>
      </w:r>
    </w:p>
    <w:p w14:paraId="60E83551" w14:textId="77777777" w:rsidR="002C26E2" w:rsidRDefault="00812CB4">
      <w:pPr>
        <w:spacing w:after="152"/>
        <w:ind w:left="7" w:right="225"/>
      </w:pPr>
      <w:r>
        <w:t xml:space="preserve">Reading of Crown Court PPE beyond </w:t>
      </w:r>
      <w:r>
        <w:rPr>
          <w:b/>
        </w:rPr>
        <w:t>3,000 pages</w:t>
      </w:r>
      <w:r>
        <w:t xml:space="preserve"> should be remunerated at </w:t>
      </w:r>
      <w:r>
        <w:rPr>
          <w:b/>
        </w:rPr>
        <w:t>£2.32 per page</w:t>
      </w:r>
      <w:r>
        <w:t xml:space="preserve">, applicable to both solicitors and counsel irrespective of seniority. </w:t>
      </w:r>
    </w:p>
    <w:p w14:paraId="47525D96" w14:textId="77777777" w:rsidR="002C26E2" w:rsidRDefault="00812CB4">
      <w:pPr>
        <w:spacing w:after="113" w:line="265" w:lineRule="auto"/>
        <w:ind w:left="7"/>
      </w:pPr>
      <w:r>
        <w:rPr>
          <w:b/>
        </w:rPr>
        <w:t>Recommendation 5.</w:t>
      </w:r>
      <w:r>
        <w:t xml:space="preserve">  </w:t>
      </w:r>
    </w:p>
    <w:p w14:paraId="3DDD1251" w14:textId="77777777" w:rsidR="002C26E2" w:rsidRDefault="00812CB4">
      <w:pPr>
        <w:spacing w:after="152"/>
        <w:ind w:left="7" w:right="225"/>
      </w:pPr>
      <w:r>
        <w:t xml:space="preserve">The Legal Services Agency should monitor PPE claims under the revised framework to ensure compliance and value for money. </w:t>
      </w:r>
    </w:p>
    <w:p w14:paraId="65148A8F" w14:textId="77777777" w:rsidR="002C26E2" w:rsidRDefault="00812CB4">
      <w:pPr>
        <w:spacing w:after="113" w:line="265" w:lineRule="auto"/>
        <w:ind w:left="7"/>
      </w:pPr>
      <w:r>
        <w:rPr>
          <w:b/>
        </w:rPr>
        <w:t>Recommendation 6.</w:t>
      </w:r>
      <w:r>
        <w:t xml:space="preserve">  </w:t>
      </w:r>
    </w:p>
    <w:p w14:paraId="601487AF" w14:textId="77777777" w:rsidR="002C26E2" w:rsidRDefault="00812CB4">
      <w:pPr>
        <w:ind w:left="7" w:right="225"/>
      </w:pPr>
      <w:r>
        <w:t xml:space="preserve">EP should not be used for consultations or AV review, except in genuinely exceptional circumstances (addressed separately). </w:t>
      </w:r>
    </w:p>
    <w:p w14:paraId="0EA62875" w14:textId="77777777" w:rsidR="002C26E2" w:rsidRDefault="00812CB4">
      <w:pPr>
        <w:spacing w:after="229" w:line="265" w:lineRule="auto"/>
        <w:ind w:left="7"/>
      </w:pPr>
      <w:r>
        <w:rPr>
          <w:u w:val="single" w:color="000000"/>
        </w:rPr>
        <w:t>Section 6.5: Barristers: hourly rates (EP)</w:t>
      </w:r>
      <w:r>
        <w:t xml:space="preserve"> </w:t>
      </w:r>
    </w:p>
    <w:p w14:paraId="176AC8DA" w14:textId="77777777" w:rsidR="002C26E2" w:rsidRDefault="00812CB4">
      <w:pPr>
        <w:spacing w:after="113" w:line="265" w:lineRule="auto"/>
        <w:ind w:left="7"/>
      </w:pPr>
      <w:r>
        <w:rPr>
          <w:b/>
        </w:rPr>
        <w:t>Recommendation 7.</w:t>
      </w:r>
      <w:r>
        <w:t xml:space="preserve">  </w:t>
      </w:r>
    </w:p>
    <w:p w14:paraId="76A81D72" w14:textId="77777777" w:rsidR="002C26E2" w:rsidRDefault="00812CB4">
      <w:pPr>
        <w:spacing w:after="152"/>
        <w:ind w:left="7" w:right="225"/>
      </w:pPr>
      <w:r>
        <w:t xml:space="preserve">Adopt revised Crown Court EP hourly rates for barristers: </w:t>
      </w:r>
      <w:r>
        <w:rPr>
          <w:b/>
        </w:rPr>
        <w:t>£164</w:t>
      </w:r>
      <w:r>
        <w:t xml:space="preserve"> (Senior), </w:t>
      </w:r>
      <w:r>
        <w:rPr>
          <w:b/>
        </w:rPr>
        <w:t>£128</w:t>
      </w:r>
      <w:r>
        <w:t xml:space="preserve"> (Leading Junior), </w:t>
      </w:r>
      <w:r>
        <w:rPr>
          <w:b/>
        </w:rPr>
        <w:t>£109</w:t>
      </w:r>
      <w:r>
        <w:t xml:space="preserve"> (Sole Junior), </w:t>
      </w:r>
      <w:r>
        <w:rPr>
          <w:b/>
        </w:rPr>
        <w:t>£97</w:t>
      </w:r>
      <w:r>
        <w:t xml:space="preserve"> </w:t>
      </w:r>
      <w:r>
        <w:t xml:space="preserve">(Led Junior), derived using comparator salary anchors, overheads, pension assumptions, and chargeable-hours modelling. </w:t>
      </w:r>
    </w:p>
    <w:p w14:paraId="2A7E9ED8" w14:textId="77777777" w:rsidR="002C26E2" w:rsidRDefault="00812CB4">
      <w:pPr>
        <w:spacing w:after="113" w:line="265" w:lineRule="auto"/>
        <w:ind w:left="7"/>
      </w:pPr>
      <w:r>
        <w:rPr>
          <w:b/>
        </w:rPr>
        <w:t>Recommendation 8.</w:t>
      </w:r>
      <w:r>
        <w:t xml:space="preserve">  </w:t>
      </w:r>
    </w:p>
    <w:p w14:paraId="56A084D5" w14:textId="77777777" w:rsidR="002C26E2" w:rsidRDefault="00812CB4">
      <w:pPr>
        <w:spacing w:after="115" w:line="259" w:lineRule="auto"/>
        <w:ind w:left="7" w:right="225"/>
      </w:pPr>
      <w:r>
        <w:t xml:space="preserve">Implement the revised hourly rates alongside reforms restricting EP use for </w:t>
      </w:r>
    </w:p>
    <w:p w14:paraId="6714BA57" w14:textId="77777777" w:rsidR="002C26E2" w:rsidRDefault="00812CB4">
      <w:pPr>
        <w:spacing w:after="299" w:line="259" w:lineRule="auto"/>
        <w:ind w:left="7" w:right="225"/>
      </w:pPr>
      <w:r>
        <w:t xml:space="preserve">PPE/reading to avoid EP operating as a proxy for routine preparatory work. </w:t>
      </w:r>
    </w:p>
    <w:p w14:paraId="47DACFE6" w14:textId="77777777" w:rsidR="00444ECE" w:rsidRDefault="00444ECE">
      <w:pPr>
        <w:spacing w:after="229" w:line="265" w:lineRule="auto"/>
        <w:ind w:left="7"/>
        <w:rPr>
          <w:u w:val="single" w:color="000000"/>
        </w:rPr>
      </w:pPr>
      <w:r>
        <w:rPr>
          <w:u w:val="single" w:color="000000"/>
        </w:rPr>
        <w:br w:type="page"/>
      </w:r>
    </w:p>
    <w:p w14:paraId="50C08634" w14:textId="0B0131A9" w:rsidR="002C26E2" w:rsidRDefault="00812CB4">
      <w:pPr>
        <w:spacing w:after="229" w:line="265" w:lineRule="auto"/>
        <w:ind w:left="7"/>
      </w:pPr>
      <w:r>
        <w:rPr>
          <w:u w:val="single" w:color="000000"/>
        </w:rPr>
        <w:t>Section 7.6: Solicitors: hourly rates (EP</w:t>
      </w:r>
      <w:r>
        <w:rPr>
          <w:b/>
        </w:rPr>
        <w:t xml:space="preserve">) </w:t>
      </w:r>
    </w:p>
    <w:p w14:paraId="04E94CBD" w14:textId="77777777" w:rsidR="002C26E2" w:rsidRDefault="00812CB4">
      <w:pPr>
        <w:spacing w:after="113" w:line="265" w:lineRule="auto"/>
        <w:ind w:left="7"/>
      </w:pPr>
      <w:r>
        <w:rPr>
          <w:b/>
        </w:rPr>
        <w:t>Recommendation 9.</w:t>
      </w:r>
      <w:r>
        <w:t xml:space="preserve">  </w:t>
      </w:r>
    </w:p>
    <w:p w14:paraId="0531ABF5" w14:textId="77777777" w:rsidR="002C26E2" w:rsidRDefault="00812CB4">
      <w:pPr>
        <w:spacing w:after="152"/>
        <w:ind w:left="7" w:right="225"/>
      </w:pPr>
      <w:r>
        <w:t xml:space="preserve">For Crown Court EP undertaken by solicitors, adopt a blended and weighted hourly rate of </w:t>
      </w:r>
      <w:r>
        <w:rPr>
          <w:b/>
        </w:rPr>
        <w:t>£172</w:t>
      </w:r>
      <w:r>
        <w:t xml:space="preserve"> per hour, grounded in the BDO review, SIB refinement, and updated utilisation assumptions. </w:t>
      </w:r>
    </w:p>
    <w:p w14:paraId="5D9E7972" w14:textId="77777777" w:rsidR="002C26E2" w:rsidRDefault="00812CB4">
      <w:pPr>
        <w:spacing w:after="113" w:line="265" w:lineRule="auto"/>
        <w:ind w:left="7"/>
      </w:pPr>
      <w:r>
        <w:rPr>
          <w:b/>
        </w:rPr>
        <w:t>Recommendation 10.</w:t>
      </w:r>
      <w:r>
        <w:t xml:space="preserve">  </w:t>
      </w:r>
    </w:p>
    <w:p w14:paraId="23A5E109" w14:textId="77777777" w:rsidR="002C26E2" w:rsidRDefault="00812CB4">
      <w:pPr>
        <w:ind w:left="7" w:right="225"/>
      </w:pPr>
      <w:r>
        <w:t xml:space="preserve">Alternatively apply grade-specific rates: </w:t>
      </w:r>
      <w:r>
        <w:rPr>
          <w:b/>
        </w:rPr>
        <w:t>£200</w:t>
      </w:r>
      <w:r>
        <w:t xml:space="preserve"> (Senior Solicitor), </w:t>
      </w:r>
      <w:r>
        <w:rPr>
          <w:b/>
        </w:rPr>
        <w:t>£166</w:t>
      </w:r>
      <w:r>
        <w:t xml:space="preserve"> (Solicitor), and </w:t>
      </w:r>
      <w:r>
        <w:rPr>
          <w:b/>
        </w:rPr>
        <w:t>£90</w:t>
      </w:r>
      <w:r>
        <w:t xml:space="preserve"> (Apprentice/equivalent). </w:t>
      </w:r>
    </w:p>
    <w:p w14:paraId="2DB6C8D9" w14:textId="77777777" w:rsidR="002C26E2" w:rsidRDefault="00812CB4">
      <w:pPr>
        <w:spacing w:after="229" w:line="265" w:lineRule="auto"/>
        <w:ind w:left="7"/>
      </w:pPr>
      <w:r>
        <w:rPr>
          <w:u w:val="single" w:color="000000"/>
        </w:rPr>
        <w:t>Section 8.5: Sentencing skeleton arguments</w:t>
      </w:r>
      <w:r>
        <w:t xml:space="preserve"> </w:t>
      </w:r>
    </w:p>
    <w:p w14:paraId="5843F79C" w14:textId="77777777" w:rsidR="002C26E2" w:rsidRDefault="00812CB4">
      <w:pPr>
        <w:spacing w:after="229" w:line="265" w:lineRule="auto"/>
        <w:ind w:left="7"/>
      </w:pPr>
      <w:r>
        <w:rPr>
          <w:b/>
        </w:rPr>
        <w:t>Recommendation 11.</w:t>
      </w:r>
      <w:r>
        <w:t xml:space="preserve">  </w:t>
      </w:r>
    </w:p>
    <w:p w14:paraId="427F0027" w14:textId="77777777" w:rsidR="002C26E2" w:rsidRDefault="00812CB4">
      <w:pPr>
        <w:ind w:left="7" w:right="225"/>
      </w:pPr>
      <w:r>
        <w:t xml:space="preserve">Increase sentencing skeleton argument fees in line with the </w:t>
      </w:r>
      <w:r>
        <w:rPr>
          <w:b/>
        </w:rPr>
        <w:t>26.05%</w:t>
      </w:r>
      <w:r>
        <w:t xml:space="preserve"> standard-fee uplift; do not introduce separate time-based remuneration in the absence of robust and validated evidence (including for the asserted four-hour preparation assumption). </w:t>
      </w:r>
    </w:p>
    <w:p w14:paraId="1D35A1E6" w14:textId="77777777" w:rsidR="002C26E2" w:rsidRDefault="00812CB4">
      <w:pPr>
        <w:spacing w:after="231" w:line="265" w:lineRule="auto"/>
        <w:ind w:left="7"/>
      </w:pPr>
      <w:r>
        <w:rPr>
          <w:u w:val="single" w:color="000000"/>
        </w:rPr>
        <w:t>Section 9.7: Consultations (Crown Court)</w:t>
      </w:r>
      <w:r>
        <w:t xml:space="preserve"> </w:t>
      </w:r>
    </w:p>
    <w:p w14:paraId="2D90C434" w14:textId="77777777" w:rsidR="002C26E2" w:rsidRDefault="00812CB4">
      <w:pPr>
        <w:spacing w:after="229" w:line="265" w:lineRule="auto"/>
        <w:ind w:left="7"/>
      </w:pPr>
      <w:r>
        <w:rPr>
          <w:b/>
        </w:rPr>
        <w:t>Recommendation 12.</w:t>
      </w:r>
      <w:r>
        <w:t xml:space="preserve">  </w:t>
      </w:r>
    </w:p>
    <w:p w14:paraId="25C3DBF4" w14:textId="77777777" w:rsidR="002C26E2" w:rsidRDefault="00812CB4">
      <w:pPr>
        <w:spacing w:after="114"/>
        <w:ind w:left="7" w:right="225"/>
      </w:pPr>
      <w:r>
        <w:t xml:space="preserve">Increase barrister consultation hourly rates in line with the </w:t>
      </w:r>
      <w:r>
        <w:rPr>
          <w:b/>
        </w:rPr>
        <w:t>26.05%</w:t>
      </w:r>
      <w:r>
        <w:t xml:space="preserve"> uplift (rounded to the nearest pound), rather than adopting the substantially higher rates requested in submissions. </w:t>
      </w:r>
    </w:p>
    <w:p w14:paraId="65D9EA0B" w14:textId="77777777" w:rsidR="002C26E2" w:rsidRDefault="00812CB4">
      <w:pPr>
        <w:spacing w:after="229" w:line="265" w:lineRule="auto"/>
        <w:ind w:left="7"/>
      </w:pPr>
      <w:r>
        <w:rPr>
          <w:b/>
        </w:rPr>
        <w:t>Recommendation 13.</w:t>
      </w:r>
      <w:r>
        <w:t xml:space="preserve">  </w:t>
      </w:r>
    </w:p>
    <w:p w14:paraId="73F48FFE" w14:textId="77777777" w:rsidR="002C26E2" w:rsidRDefault="00812CB4">
      <w:pPr>
        <w:spacing w:after="111"/>
        <w:ind w:left="7" w:right="225"/>
      </w:pPr>
      <w:r>
        <w:t xml:space="preserve">Introduce a new discrete Crown Court consultation fee for solicitors of </w:t>
      </w:r>
      <w:r>
        <w:rPr>
          <w:b/>
        </w:rPr>
        <w:t>£60 per hour</w:t>
      </w:r>
      <w:r>
        <w:t xml:space="preserve">, </w:t>
      </w:r>
      <w:r>
        <w:t xml:space="preserve">recognising that solicitor attendance is required for consultations to occur. </w:t>
      </w:r>
    </w:p>
    <w:p w14:paraId="084507FA" w14:textId="77777777" w:rsidR="002C26E2" w:rsidRDefault="00812CB4">
      <w:pPr>
        <w:spacing w:after="229" w:line="265" w:lineRule="auto"/>
        <w:ind w:left="7"/>
      </w:pPr>
      <w:r>
        <w:rPr>
          <w:b/>
        </w:rPr>
        <w:t>Recommendation 14.</w:t>
      </w:r>
      <w:r>
        <w:t xml:space="preserve">  </w:t>
      </w:r>
    </w:p>
    <w:p w14:paraId="5B4FA94E" w14:textId="77777777" w:rsidR="002C26E2" w:rsidRDefault="00812CB4">
      <w:pPr>
        <w:ind w:left="7" w:right="225"/>
      </w:pPr>
      <w:r>
        <w:t xml:space="preserve">EP should not be used to remunerate consultation work (barristers or solicitors), except in genuinely exceptional circumstances. </w:t>
      </w:r>
    </w:p>
    <w:p w14:paraId="1A1F0AFA" w14:textId="77777777" w:rsidR="002C26E2" w:rsidRDefault="00812CB4">
      <w:pPr>
        <w:spacing w:after="231" w:line="265" w:lineRule="auto"/>
        <w:ind w:left="7"/>
      </w:pPr>
      <w:r>
        <w:rPr>
          <w:u w:val="single" w:color="000000"/>
        </w:rPr>
        <w:t xml:space="preserve">Section 10.5: Audio-visual evidence </w:t>
      </w:r>
      <w:proofErr w:type="gramStart"/>
      <w:r>
        <w:rPr>
          <w:u w:val="single" w:color="000000"/>
        </w:rPr>
        <w:t>review</w:t>
      </w:r>
      <w:proofErr w:type="gramEnd"/>
      <w:r>
        <w:rPr>
          <w:u w:val="single" w:color="000000"/>
        </w:rPr>
        <w:t xml:space="preserve"> (Crown Court)</w:t>
      </w:r>
      <w:r>
        <w:t xml:space="preserve"> </w:t>
      </w:r>
    </w:p>
    <w:p w14:paraId="33F4D30A" w14:textId="77777777" w:rsidR="002C26E2" w:rsidRDefault="00812CB4">
      <w:pPr>
        <w:spacing w:after="229" w:line="265" w:lineRule="auto"/>
        <w:ind w:left="7"/>
      </w:pPr>
      <w:r>
        <w:rPr>
          <w:b/>
        </w:rPr>
        <w:t>Recommendation 15.</w:t>
      </w:r>
      <w:r>
        <w:t xml:space="preserve">  </w:t>
      </w:r>
    </w:p>
    <w:p w14:paraId="525105A4" w14:textId="77777777" w:rsidR="002C26E2" w:rsidRDefault="00812CB4">
      <w:pPr>
        <w:ind w:left="7" w:right="225"/>
      </w:pPr>
      <w:r>
        <w:t xml:space="preserve">Introduce a discrete solicitor rate for AV review of </w:t>
      </w:r>
      <w:r>
        <w:rPr>
          <w:b/>
        </w:rPr>
        <w:t>£70 per hour</w:t>
      </w:r>
      <w:r>
        <w:t xml:space="preserve">, aligned to the PPE reading methodology and designed to improve transparency and consistency. </w:t>
      </w:r>
    </w:p>
    <w:p w14:paraId="09524AB6" w14:textId="77777777" w:rsidR="002C26E2" w:rsidRDefault="00812CB4">
      <w:pPr>
        <w:spacing w:after="229" w:line="265" w:lineRule="auto"/>
        <w:ind w:left="7"/>
      </w:pPr>
      <w:r>
        <w:rPr>
          <w:b/>
        </w:rPr>
        <w:t>Recommendation 16.</w:t>
      </w:r>
      <w:r>
        <w:t xml:space="preserve">  </w:t>
      </w:r>
    </w:p>
    <w:p w14:paraId="3508CB56" w14:textId="77777777" w:rsidR="002C26E2" w:rsidRDefault="00812CB4">
      <w:pPr>
        <w:spacing w:after="114"/>
        <w:ind w:left="7" w:right="225"/>
      </w:pPr>
      <w:r>
        <w:t xml:space="preserve">The Legal Services Agency may remunerate AV review in </w:t>
      </w:r>
      <w:r>
        <w:rPr>
          <w:b/>
        </w:rPr>
        <w:t>10-minute units</w:t>
      </w:r>
      <w:r>
        <w:t xml:space="preserve"> at </w:t>
      </w:r>
      <w:r>
        <w:rPr>
          <w:b/>
        </w:rPr>
        <w:t>£11.67 per 10 minutes</w:t>
      </w:r>
      <w:r>
        <w:t xml:space="preserve">, consistent with existing Crown Court arrangements for counsel. </w:t>
      </w:r>
    </w:p>
    <w:p w14:paraId="2D6D63F5" w14:textId="77777777" w:rsidR="002C26E2" w:rsidRDefault="00812CB4">
      <w:pPr>
        <w:spacing w:after="229" w:line="265" w:lineRule="auto"/>
        <w:ind w:left="7"/>
      </w:pPr>
      <w:r>
        <w:rPr>
          <w:b/>
        </w:rPr>
        <w:t>Recommendation 17.</w:t>
      </w:r>
      <w:r>
        <w:t xml:space="preserve">  </w:t>
      </w:r>
    </w:p>
    <w:p w14:paraId="58A06CF1" w14:textId="68DD9DC2" w:rsidR="002C26E2" w:rsidRDefault="00812CB4">
      <w:pPr>
        <w:ind w:left="7" w:right="225"/>
      </w:pPr>
      <w:r>
        <w:t>EP should not be used for AV review (solicitors or barristers), except in genuinely exceptional circumstances.</w:t>
      </w:r>
    </w:p>
    <w:p w14:paraId="1D804992" w14:textId="77777777" w:rsidR="002C26E2" w:rsidRDefault="00812CB4">
      <w:pPr>
        <w:pStyle w:val="Heading2"/>
        <w:spacing w:after="305"/>
        <w:ind w:left="849" w:right="200" w:hanging="852"/>
      </w:pPr>
      <w:bookmarkStart w:id="92" w:name="_Toc107630"/>
      <w:r>
        <w:rPr>
          <w:color w:val="004E9A"/>
          <w:sz w:val="28"/>
        </w:rPr>
        <w:t>I</w:t>
      </w:r>
      <w:r>
        <w:rPr>
          <w:color w:val="004E9A"/>
        </w:rPr>
        <w:t>MPLICATIONS FOR DELIVERY</w:t>
      </w:r>
      <w:r>
        <w:rPr>
          <w:color w:val="004E9A"/>
          <w:sz w:val="28"/>
        </w:rPr>
        <w:t>,</w:t>
      </w:r>
      <w:r>
        <w:rPr>
          <w:color w:val="004E9A"/>
        </w:rPr>
        <w:t xml:space="preserve"> COST AND VALUE FOR MONEY</w:t>
      </w:r>
      <w:r>
        <w:rPr>
          <w:color w:val="004E9A"/>
          <w:sz w:val="28"/>
        </w:rPr>
        <w:t xml:space="preserve"> </w:t>
      </w:r>
      <w:bookmarkEnd w:id="92"/>
    </w:p>
    <w:p w14:paraId="5D932EB8" w14:textId="77777777" w:rsidR="002C26E2" w:rsidRDefault="00812CB4">
      <w:pPr>
        <w:spacing w:after="0"/>
        <w:ind w:left="717" w:right="225" w:hanging="720"/>
      </w:pPr>
      <w:r>
        <w:t xml:space="preserve">12.3.1 </w:t>
      </w:r>
      <w:r>
        <w:rPr>
          <w:b/>
        </w:rPr>
        <w:t xml:space="preserve">Affordability and budget impact. </w:t>
      </w:r>
      <w:r>
        <w:t>The recommended standard-</w:t>
      </w:r>
      <w:r>
        <w:t xml:space="preserve">fee uplift is explicitly subject to affordability testing by the Department. Specific-fee reforms (PPE and AV) are intended to improve targeting of spend and reduce reliance on </w:t>
      </w:r>
      <w:proofErr w:type="gramStart"/>
      <w:r>
        <w:t>EP, but</w:t>
      </w:r>
      <w:proofErr w:type="gramEnd"/>
      <w:r>
        <w:t xml:space="preserve"> may change the profile of costs (including potential savings from reduced EP claims and administrative processing).  Collectively, it is forecast that implementation of the recommendations of the Accelerated </w:t>
      </w:r>
    </w:p>
    <w:p w14:paraId="72742A06" w14:textId="77777777" w:rsidR="002C26E2" w:rsidRDefault="00812CB4">
      <w:pPr>
        <w:spacing w:after="193"/>
        <w:ind w:left="730" w:right="225"/>
      </w:pPr>
      <w:r>
        <w:t>Review will result in an additional legal aid cost of £6,622k per year to the Department of Justice</w:t>
      </w:r>
      <w:r>
        <w:rPr>
          <w:b/>
        </w:rPr>
        <w:t xml:space="preserve"> </w:t>
      </w:r>
    </w:p>
    <w:p w14:paraId="6D7D1892" w14:textId="77777777" w:rsidR="002C26E2" w:rsidRDefault="00812CB4">
      <w:pPr>
        <w:spacing w:after="193"/>
        <w:ind w:left="717" w:right="225" w:hanging="720"/>
      </w:pPr>
      <w:r>
        <w:t xml:space="preserve">12.3.2 </w:t>
      </w:r>
      <w:r>
        <w:rPr>
          <w:b/>
        </w:rPr>
        <w:t xml:space="preserve">Administrative efficiency. </w:t>
      </w:r>
      <w:r>
        <w:t>Moving routine PPE reading and AV review away from EP should reduce application volumes and assessment workload for practitioners and the Legal Services Agency, improving predictability and transparency.</w:t>
      </w:r>
      <w:r>
        <w:rPr>
          <w:b/>
        </w:rPr>
        <w:t xml:space="preserve"> </w:t>
      </w:r>
    </w:p>
    <w:p w14:paraId="7324848F" w14:textId="77777777" w:rsidR="002C26E2" w:rsidRDefault="00812CB4">
      <w:pPr>
        <w:spacing w:after="195"/>
        <w:ind w:left="717" w:right="225" w:hanging="720"/>
      </w:pPr>
      <w:r>
        <w:t xml:space="preserve">12.3.3 </w:t>
      </w:r>
      <w:r>
        <w:rPr>
          <w:b/>
        </w:rPr>
        <w:t xml:space="preserve">Targeting public funds. </w:t>
      </w:r>
      <w:r>
        <w:t xml:space="preserve">The recommendations aim to align payment mechanisms more closely with the underlying work (pages read, hours of AV reviewed, hours of consultation), supporting clearer </w:t>
      </w:r>
      <w:proofErr w:type="spellStart"/>
      <w:r>
        <w:t>VfM</w:t>
      </w:r>
      <w:proofErr w:type="spellEnd"/>
      <w:r>
        <w:t xml:space="preserve"> assessment and future monitoring.</w:t>
      </w:r>
      <w:r>
        <w:rPr>
          <w:b/>
        </w:rPr>
        <w:t xml:space="preserve"> </w:t>
      </w:r>
    </w:p>
    <w:p w14:paraId="5AFE54F6" w14:textId="77777777" w:rsidR="002C26E2" w:rsidRDefault="00812CB4">
      <w:pPr>
        <w:spacing w:after="429"/>
        <w:ind w:left="717" w:right="225" w:hanging="720"/>
      </w:pPr>
      <w:r>
        <w:t xml:space="preserve">12.3.4 </w:t>
      </w:r>
      <w:r>
        <w:rPr>
          <w:b/>
        </w:rPr>
        <w:t xml:space="preserve">System context. </w:t>
      </w:r>
      <w:r>
        <w:t xml:space="preserve">Wider justice-system </w:t>
      </w:r>
      <w:proofErr w:type="spellStart"/>
      <w:r>
        <w:t>VfM</w:t>
      </w:r>
      <w:proofErr w:type="spellEnd"/>
      <w:r>
        <w:t xml:space="preserve"> challenges mean that remuneration changes should, where possible, be accompanied by continued work on process and structural reforms to prevent cost escalation without commensurate system benefit.</w:t>
      </w:r>
      <w:r>
        <w:rPr>
          <w:b/>
        </w:rPr>
        <w:t xml:space="preserve"> </w:t>
      </w:r>
    </w:p>
    <w:p w14:paraId="6A0E5AAD" w14:textId="77777777" w:rsidR="002C26E2" w:rsidRDefault="00812CB4">
      <w:pPr>
        <w:pStyle w:val="Heading2"/>
        <w:spacing w:after="305"/>
        <w:ind w:left="849" w:right="200" w:hanging="852"/>
      </w:pPr>
      <w:bookmarkStart w:id="93" w:name="_Toc107631"/>
      <w:r>
        <w:rPr>
          <w:color w:val="004E9A"/>
          <w:sz w:val="28"/>
        </w:rPr>
        <w:t>I</w:t>
      </w:r>
      <w:r>
        <w:rPr>
          <w:color w:val="004E9A"/>
        </w:rPr>
        <w:t>MPLEMENTATION CONSIDERATIONS AND NEXT STEPS</w:t>
      </w:r>
      <w:r>
        <w:rPr>
          <w:color w:val="004E9A"/>
          <w:sz w:val="28"/>
        </w:rPr>
        <w:t xml:space="preserve"> </w:t>
      </w:r>
      <w:bookmarkEnd w:id="93"/>
    </w:p>
    <w:p w14:paraId="43B97B9C" w14:textId="77777777" w:rsidR="002C26E2" w:rsidRDefault="00812CB4">
      <w:pPr>
        <w:spacing w:after="195"/>
        <w:ind w:left="717" w:right="225" w:hanging="720"/>
      </w:pPr>
      <w:r>
        <w:t xml:space="preserve">12.4.1 </w:t>
      </w:r>
      <w:r>
        <w:rPr>
          <w:b/>
        </w:rPr>
        <w:t xml:space="preserve">Sequencing. </w:t>
      </w:r>
      <w:r>
        <w:t>Consider implementing (</w:t>
      </w:r>
      <w:proofErr w:type="spellStart"/>
      <w:r>
        <w:t>i</w:t>
      </w:r>
      <w:proofErr w:type="spellEnd"/>
      <w:r>
        <w:t>) the general standard-fee uplift decision (subject to affordability), and (ii) the PPE/EP reforms as a linked package to reduce substitution effects and unintended incentives</w:t>
      </w:r>
      <w:r>
        <w:rPr>
          <w:b/>
        </w:rPr>
        <w:t xml:space="preserve">. </w:t>
      </w:r>
    </w:p>
    <w:p w14:paraId="3DC7E491" w14:textId="77777777" w:rsidR="002C26E2" w:rsidRDefault="00812CB4">
      <w:pPr>
        <w:ind w:left="717" w:right="225" w:hanging="720"/>
      </w:pPr>
      <w:r>
        <w:t xml:space="preserve">12.4.2 </w:t>
      </w:r>
      <w:r>
        <w:rPr>
          <w:b/>
        </w:rPr>
        <w:t xml:space="preserve">Controls and monitoring. </w:t>
      </w:r>
      <w:r>
        <w:t xml:space="preserve">The Legal Services Agency should monitor PPE claims and AV review claims under the revised framework, including thresholds, anomalies, and evidence requirements, to support </w:t>
      </w:r>
      <w:proofErr w:type="spellStart"/>
      <w:r>
        <w:t>VfM</w:t>
      </w:r>
      <w:proofErr w:type="spellEnd"/>
      <w:r>
        <w:t xml:space="preserve"> and reduce gaming risk.</w:t>
      </w:r>
      <w:r>
        <w:rPr>
          <w:b/>
        </w:rPr>
        <w:t xml:space="preserve"> </w:t>
      </w:r>
    </w:p>
    <w:p w14:paraId="389860CC" w14:textId="77777777" w:rsidR="002C26E2" w:rsidRDefault="00812CB4">
      <w:pPr>
        <w:spacing w:after="199" w:line="361" w:lineRule="auto"/>
        <w:ind w:left="717" w:right="225" w:hanging="720"/>
      </w:pPr>
      <w:r>
        <w:t xml:space="preserve">12.4.3 </w:t>
      </w:r>
      <w:r>
        <w:rPr>
          <w:b/>
        </w:rPr>
        <w:t xml:space="preserve">Guidance and communication. </w:t>
      </w:r>
      <w:r>
        <w:t xml:space="preserve">Clear operational guidance will be required </w:t>
      </w:r>
      <w:r>
        <w:t>for practitioners and assessors, including how “genuinely exceptional circumstances” are defined for residual EP use.</w:t>
      </w:r>
      <w:r>
        <w:rPr>
          <w:b/>
        </w:rPr>
        <w:t xml:space="preserve"> </w:t>
      </w:r>
    </w:p>
    <w:p w14:paraId="48C64EF2" w14:textId="77777777" w:rsidR="002C26E2" w:rsidRDefault="00812CB4">
      <w:pPr>
        <w:spacing w:after="415"/>
        <w:ind w:left="705" w:right="225" w:hanging="708"/>
      </w:pPr>
      <w:r>
        <w:t xml:space="preserve">12.4.4 </w:t>
      </w:r>
      <w:r>
        <w:rPr>
          <w:b/>
        </w:rPr>
        <w:t>Data improvement.</w:t>
      </w:r>
      <w:r>
        <w:t xml:space="preserve"> Continue the longer-term programme to rebuild the evidential base for the full spectrum of set fees (including time-recording and case-complexity data), recognising this is outside the Accelerated Review but essential for future reform. </w:t>
      </w:r>
    </w:p>
    <w:p w14:paraId="7ACF75C6" w14:textId="77777777" w:rsidR="002C26E2" w:rsidRDefault="00812CB4">
      <w:pPr>
        <w:pStyle w:val="Heading2"/>
        <w:ind w:left="849" w:right="200" w:hanging="852"/>
      </w:pPr>
      <w:bookmarkStart w:id="94" w:name="_Toc107632"/>
      <w:r>
        <w:rPr>
          <w:color w:val="004E9A"/>
          <w:sz w:val="28"/>
        </w:rPr>
        <w:t>F</w:t>
      </w:r>
      <w:r>
        <w:rPr>
          <w:color w:val="004E9A"/>
        </w:rPr>
        <w:t xml:space="preserve">INAL </w:t>
      </w:r>
      <w:r>
        <w:rPr>
          <w:color w:val="004E9A"/>
          <w:sz w:val="28"/>
        </w:rPr>
        <w:t>C</w:t>
      </w:r>
      <w:r>
        <w:rPr>
          <w:color w:val="004E9A"/>
        </w:rPr>
        <w:t>OMMENTS</w:t>
      </w:r>
      <w:r>
        <w:rPr>
          <w:color w:val="004E9A"/>
          <w:sz w:val="28"/>
        </w:rPr>
        <w:t xml:space="preserve"> </w:t>
      </w:r>
      <w:bookmarkEnd w:id="94"/>
    </w:p>
    <w:p w14:paraId="03E6214C" w14:textId="77777777" w:rsidR="002C26E2" w:rsidRDefault="00812CB4">
      <w:pPr>
        <w:ind w:left="7" w:right="225"/>
      </w:pPr>
      <w:r>
        <w:t xml:space="preserve">It is the view of the authors that the above Report, covering the Accelerated Review of Criminal Legal Aid Fees, fulfils the requirements of the Terms of Reference. </w:t>
      </w:r>
    </w:p>
    <w:p w14:paraId="2E981789" w14:textId="77777777" w:rsidR="002C26E2" w:rsidRDefault="00812CB4">
      <w:pPr>
        <w:spacing w:after="240" w:line="360" w:lineRule="auto"/>
        <w:ind w:left="7" w:right="224"/>
        <w:jc w:val="both"/>
      </w:pPr>
      <w:r>
        <w:t xml:space="preserve">We were asked to assess the evidence available to us and at the same time, to make recommendations on changes to the fee structure on predetermined issues at an enhanced pace.  </w:t>
      </w:r>
    </w:p>
    <w:p w14:paraId="1BCB9BB8" w14:textId="77777777" w:rsidR="002C26E2" w:rsidRDefault="00812CB4">
      <w:pPr>
        <w:spacing w:after="1" w:line="360" w:lineRule="auto"/>
        <w:ind w:left="7" w:right="224"/>
        <w:jc w:val="both"/>
      </w:pPr>
      <w:r>
        <w:t xml:space="preserve">Any recommendations had to satisfy the statutory criteria against which the Department is obliged to consider in determining rates paid for legal advice and representation: </w:t>
      </w:r>
    </w:p>
    <w:p w14:paraId="6D21971E" w14:textId="77777777" w:rsidR="002C26E2" w:rsidRDefault="00812CB4">
      <w:pPr>
        <w:numPr>
          <w:ilvl w:val="0"/>
          <w:numId w:val="66"/>
        </w:numPr>
        <w:spacing w:after="0"/>
        <w:ind w:right="225" w:hanging="360"/>
      </w:pPr>
      <w:r>
        <w:t xml:space="preserve">the time and skill which the provision of services of the description to which the order relates requires; </w:t>
      </w:r>
    </w:p>
    <w:p w14:paraId="3CAF395C" w14:textId="77777777" w:rsidR="002C26E2" w:rsidRDefault="00812CB4">
      <w:pPr>
        <w:numPr>
          <w:ilvl w:val="0"/>
          <w:numId w:val="66"/>
        </w:numPr>
        <w:spacing w:after="0"/>
        <w:ind w:right="225" w:hanging="360"/>
      </w:pPr>
      <w:r>
        <w:t xml:space="preserve">the number and general level of competence of persons providing those services; </w:t>
      </w:r>
    </w:p>
    <w:p w14:paraId="293841C9" w14:textId="77777777" w:rsidR="002C26E2" w:rsidRDefault="00812CB4">
      <w:pPr>
        <w:numPr>
          <w:ilvl w:val="0"/>
          <w:numId w:val="66"/>
        </w:numPr>
        <w:spacing w:after="118" w:line="259" w:lineRule="auto"/>
        <w:ind w:right="225" w:hanging="360"/>
      </w:pPr>
      <w:r>
        <w:t xml:space="preserve">the cost to public funds of any provision made by the regulations; and </w:t>
      </w:r>
    </w:p>
    <w:p w14:paraId="6E407ACF" w14:textId="77777777" w:rsidR="002C26E2" w:rsidRDefault="00812CB4">
      <w:pPr>
        <w:numPr>
          <w:ilvl w:val="0"/>
          <w:numId w:val="66"/>
        </w:numPr>
        <w:spacing w:after="115" w:line="259" w:lineRule="auto"/>
        <w:ind w:right="225" w:hanging="360"/>
      </w:pPr>
      <w:r>
        <w:t xml:space="preserve">the need to secure value for money; </w:t>
      </w:r>
    </w:p>
    <w:p w14:paraId="3AB43948" w14:textId="77777777" w:rsidR="002C26E2" w:rsidRDefault="00812CB4">
      <w:pPr>
        <w:spacing w:after="117" w:line="259" w:lineRule="auto"/>
        <w:ind w:left="1812" w:firstLine="0"/>
      </w:pPr>
      <w:r>
        <w:t xml:space="preserve"> </w:t>
      </w:r>
    </w:p>
    <w:p w14:paraId="2F065028" w14:textId="77777777" w:rsidR="002C26E2" w:rsidRDefault="00812CB4">
      <w:pPr>
        <w:ind w:left="7" w:right="225"/>
      </w:pPr>
      <w:r>
        <w:t xml:space="preserve">as well as relevant evidence on the viability of both limbs of the profession and relevant qualitative and quantitative evidence from other sources.  </w:t>
      </w:r>
    </w:p>
    <w:p w14:paraId="203DCF92" w14:textId="77777777" w:rsidR="002C26E2" w:rsidRDefault="00812CB4">
      <w:pPr>
        <w:spacing w:after="240" w:line="360" w:lineRule="auto"/>
        <w:ind w:left="7" w:right="224"/>
        <w:jc w:val="both"/>
      </w:pPr>
      <w:r>
        <w:t xml:space="preserve">In the Sections above, we have completed a general review of the level of criminal legal aid remuneration for practitioners. </w:t>
      </w:r>
      <w:r>
        <w:t xml:space="preserve">We have also considered barrister’s fees in </w:t>
      </w:r>
      <w:r>
        <w:t>the Crown Court for Exceptional preparation, Consultations and sentencing skeleton arguments</w:t>
      </w:r>
      <w:r>
        <w:t>. In terms of solicitor’s fees, we have considered the fees</w:t>
      </w:r>
      <w:r>
        <w:t xml:space="preserve"> in the Crown Court for Exceptional Preparation, Consultations and consideration of audio-visual evidence. </w:t>
      </w:r>
    </w:p>
    <w:p w14:paraId="7E50E0FD" w14:textId="77777777" w:rsidR="002C26E2" w:rsidRDefault="00812CB4">
      <w:pPr>
        <w:spacing w:line="259" w:lineRule="auto"/>
        <w:ind w:left="7" w:right="225"/>
      </w:pPr>
      <w:r>
        <w:t xml:space="preserve">The Report from this Accelerated Review has set out our: </w:t>
      </w:r>
    </w:p>
    <w:p w14:paraId="7FD438A7" w14:textId="77777777" w:rsidR="002C26E2" w:rsidRDefault="00812CB4">
      <w:pPr>
        <w:numPr>
          <w:ilvl w:val="0"/>
          <w:numId w:val="67"/>
        </w:numPr>
        <w:spacing w:after="207" w:line="259" w:lineRule="auto"/>
        <w:ind w:right="225" w:hanging="358"/>
      </w:pPr>
      <w:r>
        <w:t xml:space="preserve">Findings and recommendations; </w:t>
      </w:r>
    </w:p>
    <w:p w14:paraId="0B8E4A7E" w14:textId="77777777" w:rsidR="002C26E2" w:rsidRDefault="00812CB4">
      <w:pPr>
        <w:numPr>
          <w:ilvl w:val="0"/>
          <w:numId w:val="67"/>
        </w:numPr>
        <w:spacing w:after="209" w:line="259" w:lineRule="auto"/>
        <w:ind w:right="225" w:hanging="358"/>
      </w:pPr>
      <w:r>
        <w:t xml:space="preserve">the supporting evidence underpinning each recommendation; </w:t>
      </w:r>
    </w:p>
    <w:p w14:paraId="6CCC85EF" w14:textId="77777777" w:rsidR="002C26E2" w:rsidRDefault="00812CB4">
      <w:pPr>
        <w:numPr>
          <w:ilvl w:val="0"/>
          <w:numId w:val="67"/>
        </w:numPr>
        <w:spacing w:after="207" w:line="259" w:lineRule="auto"/>
        <w:ind w:right="225" w:hanging="358"/>
      </w:pPr>
      <w:r>
        <w:t xml:space="preserve">the rationale for each recommendation; </w:t>
      </w:r>
    </w:p>
    <w:p w14:paraId="7D3B0A92" w14:textId="77777777" w:rsidR="002C26E2" w:rsidRDefault="00812CB4">
      <w:pPr>
        <w:numPr>
          <w:ilvl w:val="0"/>
          <w:numId w:val="67"/>
        </w:numPr>
        <w:spacing w:after="207" w:line="259" w:lineRule="auto"/>
        <w:ind w:right="225" w:hanging="358"/>
      </w:pPr>
      <w:r>
        <w:t xml:space="preserve">an analysis of the anticipated costs of each recommendation; and </w:t>
      </w:r>
    </w:p>
    <w:p w14:paraId="5D1180D8" w14:textId="77777777" w:rsidR="002C26E2" w:rsidRDefault="00812CB4">
      <w:pPr>
        <w:numPr>
          <w:ilvl w:val="0"/>
          <w:numId w:val="67"/>
        </w:numPr>
        <w:ind w:right="225" w:hanging="358"/>
      </w:pPr>
      <w:r>
        <w:t xml:space="preserve">how each recommendation satisfies each of the statutory criteria, and any other factors considered relevant by the Review Team. </w:t>
      </w:r>
    </w:p>
    <w:p w14:paraId="0388B76A" w14:textId="77777777" w:rsidR="002C26E2" w:rsidRDefault="00812CB4">
      <w:pPr>
        <w:spacing w:after="240" w:line="360" w:lineRule="auto"/>
        <w:ind w:left="7" w:right="224"/>
        <w:jc w:val="both"/>
      </w:pPr>
      <w:r>
        <w:t xml:space="preserve">We note that our recommendations are not binding on any party and the timeframe for the implementation of any accepted recommendations will be subject to the scope of recommendations and the legislative constraints, as well as the time and capacity of the Assembly timetable in the remainder of the mandate allow.  </w:t>
      </w:r>
    </w:p>
    <w:p w14:paraId="2D5FCAB6" w14:textId="5FB99862" w:rsidR="002C26E2" w:rsidRDefault="00812CB4" w:rsidP="00444ECE">
      <w:pPr>
        <w:spacing w:after="0" w:line="360" w:lineRule="auto"/>
        <w:ind w:left="7" w:right="224"/>
        <w:jc w:val="both"/>
      </w:pPr>
      <w:r>
        <w:t>Finally, the authors would like to recognise the constructive nature of the engagement between themselves, the SCBA, the CBA and the Department of Justice. Without such engagement, this Report would have been significantly more challenging to produce.</w:t>
      </w:r>
    </w:p>
    <w:sectPr w:rsidR="002C26E2">
      <w:pgSz w:w="11906" w:h="16838"/>
      <w:pgMar w:top="1222" w:right="1213" w:bottom="1358" w:left="1428"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262C1" w14:textId="77777777" w:rsidR="00812CB4" w:rsidRDefault="00812CB4">
      <w:pPr>
        <w:spacing w:after="0" w:line="240" w:lineRule="auto"/>
      </w:pPr>
      <w:r>
        <w:separator/>
      </w:r>
    </w:p>
  </w:endnote>
  <w:endnote w:type="continuationSeparator" w:id="0">
    <w:p w14:paraId="3CB0608B" w14:textId="77777777" w:rsidR="00812CB4" w:rsidRDefault="00812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C105" w14:textId="77777777" w:rsidR="002C26E2" w:rsidRDefault="00812CB4">
    <w:pPr>
      <w:spacing w:after="0" w:line="259" w:lineRule="auto"/>
      <w:ind w:left="7" w:firstLine="0"/>
      <w:jc w:val="center"/>
    </w:pPr>
    <w:r>
      <w:rPr>
        <w:color w:val="227ACB"/>
        <w:sz w:val="20"/>
      </w:rPr>
      <w:t xml:space="preserve">Page | </w:t>
    </w:r>
    <w:r>
      <w:fldChar w:fldCharType="begin"/>
    </w:r>
    <w:r>
      <w:instrText xml:space="preserve"> PAGE   \* MERGEFORMAT </w:instrText>
    </w:r>
    <w:r>
      <w:fldChar w:fldCharType="separate"/>
    </w:r>
    <w:r>
      <w:rPr>
        <w:color w:val="227ACB"/>
        <w:sz w:val="20"/>
      </w:rPr>
      <w:t>2</w:t>
    </w:r>
    <w:r>
      <w:rPr>
        <w:color w:val="227ACB"/>
        <w:sz w:val="20"/>
      </w:rPr>
      <w:fldChar w:fldCharType="end"/>
    </w:r>
    <w:r>
      <w:rPr>
        <w:color w:val="227ACB"/>
        <w:sz w:val="20"/>
      </w:rPr>
      <w:t xml:space="preserve">  </w:t>
    </w:r>
  </w:p>
  <w:p w14:paraId="2195B35C" w14:textId="77777777" w:rsidR="002C26E2" w:rsidRDefault="00812CB4">
    <w:pPr>
      <w:spacing w:after="0" w:line="259" w:lineRule="auto"/>
      <w:ind w:left="0" w:right="295" w:firstLine="0"/>
      <w:jc w:val="right"/>
    </w:pPr>
    <w:r>
      <w:rPr>
        <w:color w:val="227AC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CB97" w14:textId="77777777" w:rsidR="002C26E2" w:rsidRDefault="00812CB4">
    <w:pPr>
      <w:spacing w:after="0" w:line="259" w:lineRule="auto"/>
      <w:ind w:left="7" w:firstLine="0"/>
      <w:jc w:val="center"/>
    </w:pPr>
    <w:r>
      <w:rPr>
        <w:color w:val="227ACB"/>
        <w:sz w:val="20"/>
      </w:rPr>
      <w:t xml:space="preserve">Page | </w:t>
    </w:r>
    <w:r>
      <w:fldChar w:fldCharType="begin"/>
    </w:r>
    <w:r>
      <w:instrText xml:space="preserve"> PAGE   \* MERGEFORMAT </w:instrText>
    </w:r>
    <w:r>
      <w:fldChar w:fldCharType="separate"/>
    </w:r>
    <w:r>
      <w:rPr>
        <w:color w:val="227ACB"/>
        <w:sz w:val="20"/>
      </w:rPr>
      <w:t>2</w:t>
    </w:r>
    <w:r>
      <w:rPr>
        <w:color w:val="227ACB"/>
        <w:sz w:val="20"/>
      </w:rPr>
      <w:fldChar w:fldCharType="end"/>
    </w:r>
    <w:r>
      <w:rPr>
        <w:color w:val="227ACB"/>
        <w:sz w:val="20"/>
      </w:rPr>
      <w:t xml:space="preserve">  </w:t>
    </w:r>
  </w:p>
  <w:p w14:paraId="502743F6" w14:textId="77777777" w:rsidR="002C26E2" w:rsidRDefault="00812CB4">
    <w:pPr>
      <w:spacing w:after="0" w:line="259" w:lineRule="auto"/>
      <w:ind w:left="0" w:right="295" w:firstLine="0"/>
      <w:jc w:val="right"/>
    </w:pPr>
    <w:r>
      <w:rPr>
        <w:color w:val="227ACB"/>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4893" w14:textId="77777777" w:rsidR="002C26E2" w:rsidRDefault="002C26E2">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F26F" w14:textId="77777777" w:rsidR="002C26E2" w:rsidRDefault="00812CB4">
    <w:pPr>
      <w:spacing w:after="0" w:line="259" w:lineRule="auto"/>
      <w:ind w:left="0" w:right="215" w:firstLine="0"/>
      <w:jc w:val="center"/>
    </w:pPr>
    <w:r>
      <w:rPr>
        <w:color w:val="227ACB"/>
        <w:sz w:val="20"/>
      </w:rPr>
      <w:t xml:space="preserve">Page | </w:t>
    </w:r>
    <w:r>
      <w:fldChar w:fldCharType="begin"/>
    </w:r>
    <w:r>
      <w:instrText xml:space="preserve"> PAGE   \* MERGEFORMAT </w:instrText>
    </w:r>
    <w:r>
      <w:fldChar w:fldCharType="separate"/>
    </w:r>
    <w:r>
      <w:rPr>
        <w:color w:val="227ACB"/>
        <w:sz w:val="20"/>
      </w:rPr>
      <w:t>2</w:t>
    </w:r>
    <w:r>
      <w:rPr>
        <w:color w:val="227ACB"/>
        <w:sz w:val="20"/>
      </w:rPr>
      <w:fldChar w:fldCharType="end"/>
    </w:r>
    <w:r>
      <w:rPr>
        <w:color w:val="227ACB"/>
        <w:sz w:val="20"/>
      </w:rPr>
      <w:t xml:space="preserve">  </w:t>
    </w:r>
  </w:p>
  <w:p w14:paraId="75096CE7" w14:textId="77777777" w:rsidR="002C26E2" w:rsidRDefault="00812CB4">
    <w:pPr>
      <w:spacing w:after="0" w:line="259" w:lineRule="auto"/>
      <w:ind w:left="0" w:right="529" w:firstLine="0"/>
      <w:jc w:val="right"/>
    </w:pPr>
    <w:r>
      <w:rPr>
        <w:color w:val="227ACB"/>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0002" w14:textId="77777777" w:rsidR="002C26E2" w:rsidRDefault="00812CB4">
    <w:pPr>
      <w:spacing w:after="0" w:line="259" w:lineRule="auto"/>
      <w:ind w:left="0" w:right="215" w:firstLine="0"/>
      <w:jc w:val="center"/>
    </w:pPr>
    <w:r>
      <w:rPr>
        <w:color w:val="227ACB"/>
        <w:sz w:val="20"/>
      </w:rPr>
      <w:t xml:space="preserve">Page | </w:t>
    </w:r>
    <w:r>
      <w:fldChar w:fldCharType="begin"/>
    </w:r>
    <w:r>
      <w:instrText xml:space="preserve"> PAGE   \* MERGEFORMAT </w:instrText>
    </w:r>
    <w:r>
      <w:fldChar w:fldCharType="separate"/>
    </w:r>
    <w:r>
      <w:rPr>
        <w:color w:val="227ACB"/>
        <w:sz w:val="20"/>
      </w:rPr>
      <w:t>2</w:t>
    </w:r>
    <w:r>
      <w:rPr>
        <w:color w:val="227ACB"/>
        <w:sz w:val="20"/>
      </w:rPr>
      <w:fldChar w:fldCharType="end"/>
    </w:r>
    <w:r>
      <w:rPr>
        <w:color w:val="227ACB"/>
        <w:sz w:val="20"/>
      </w:rPr>
      <w:t xml:space="preserve">  </w:t>
    </w:r>
  </w:p>
  <w:p w14:paraId="4C9F3CAB" w14:textId="77777777" w:rsidR="002C26E2" w:rsidRDefault="00812CB4">
    <w:pPr>
      <w:spacing w:after="0" w:line="259" w:lineRule="auto"/>
      <w:ind w:left="0" w:right="529" w:firstLine="0"/>
      <w:jc w:val="right"/>
    </w:pPr>
    <w:r>
      <w:rPr>
        <w:color w:val="227ACB"/>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F057" w14:textId="77777777" w:rsidR="002C26E2" w:rsidRDefault="00812CB4">
    <w:pPr>
      <w:spacing w:after="0" w:line="259" w:lineRule="auto"/>
      <w:ind w:left="0" w:right="215" w:firstLine="0"/>
      <w:jc w:val="center"/>
    </w:pPr>
    <w:r>
      <w:rPr>
        <w:color w:val="227ACB"/>
        <w:sz w:val="20"/>
      </w:rPr>
      <w:t xml:space="preserve">Page | </w:t>
    </w:r>
    <w:r>
      <w:fldChar w:fldCharType="begin"/>
    </w:r>
    <w:r>
      <w:instrText xml:space="preserve"> PAGE   \* MERGEFORMAT </w:instrText>
    </w:r>
    <w:r>
      <w:fldChar w:fldCharType="separate"/>
    </w:r>
    <w:r>
      <w:rPr>
        <w:color w:val="227ACB"/>
        <w:sz w:val="20"/>
      </w:rPr>
      <w:t>2</w:t>
    </w:r>
    <w:r>
      <w:rPr>
        <w:color w:val="227ACB"/>
        <w:sz w:val="20"/>
      </w:rPr>
      <w:fldChar w:fldCharType="end"/>
    </w:r>
    <w:r>
      <w:rPr>
        <w:color w:val="227ACB"/>
        <w:sz w:val="20"/>
      </w:rPr>
      <w:t xml:space="preserve">  </w:t>
    </w:r>
  </w:p>
  <w:p w14:paraId="2FABED62" w14:textId="77777777" w:rsidR="002C26E2" w:rsidRDefault="00812CB4">
    <w:pPr>
      <w:spacing w:after="0" w:line="259" w:lineRule="auto"/>
      <w:ind w:left="0" w:right="529" w:firstLine="0"/>
      <w:jc w:val="right"/>
    </w:pPr>
    <w:r>
      <w:rPr>
        <w:color w:val="227ACB"/>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9FFE4" w14:textId="77777777" w:rsidR="00812CB4" w:rsidRDefault="00812CB4">
      <w:pPr>
        <w:spacing w:after="0" w:line="240" w:lineRule="auto"/>
      </w:pPr>
      <w:r>
        <w:separator/>
      </w:r>
    </w:p>
  </w:footnote>
  <w:footnote w:type="continuationSeparator" w:id="0">
    <w:p w14:paraId="35DB1467" w14:textId="77777777" w:rsidR="00812CB4" w:rsidRDefault="00812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3D8E" w14:textId="77777777" w:rsidR="002C26E2" w:rsidRDefault="002C26E2">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17C1" w14:textId="77777777" w:rsidR="002C26E2" w:rsidRDefault="002C26E2">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EEA7" w14:textId="77777777" w:rsidR="002C26E2" w:rsidRDefault="002C26E2">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1B18" w14:textId="77777777" w:rsidR="002C26E2" w:rsidRDefault="002C26E2">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36BF" w14:textId="77777777" w:rsidR="002C26E2" w:rsidRDefault="002C26E2">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A736" w14:textId="77777777" w:rsidR="002C26E2" w:rsidRDefault="002C26E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F35"/>
    <w:multiLevelType w:val="hybridMultilevel"/>
    <w:tmpl w:val="1AC8CFDC"/>
    <w:lvl w:ilvl="0" w:tplc="B67E726E">
      <w:start w:val="1"/>
      <w:numFmt w:val="low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5A29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C0CC5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30FAB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BAE3E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486AF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ACC1DB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52CFB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3CCEC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4B7D07"/>
    <w:multiLevelType w:val="hybridMultilevel"/>
    <w:tmpl w:val="83303A28"/>
    <w:lvl w:ilvl="0" w:tplc="6DEA12A8">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3819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141F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A34B2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B2D0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5CCE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48609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F010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60CE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4E77AD"/>
    <w:multiLevelType w:val="hybridMultilevel"/>
    <w:tmpl w:val="FBCAF938"/>
    <w:lvl w:ilvl="0" w:tplc="967488F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E3BA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BAB18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7CCB5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A8B16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4E338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78C47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5468D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5E824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216507"/>
    <w:multiLevelType w:val="hybridMultilevel"/>
    <w:tmpl w:val="06C64984"/>
    <w:lvl w:ilvl="0" w:tplc="9960834C">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FADD7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42679C">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5C9D6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B66110E">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3896C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72595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560E3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CE80E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C430947"/>
    <w:multiLevelType w:val="hybridMultilevel"/>
    <w:tmpl w:val="1274459E"/>
    <w:lvl w:ilvl="0" w:tplc="12D831A0">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DA80A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7ADF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C7D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9483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34EA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A2F43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6880F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9CC1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E121B3"/>
    <w:multiLevelType w:val="hybridMultilevel"/>
    <w:tmpl w:val="3332813C"/>
    <w:lvl w:ilvl="0" w:tplc="73864220">
      <w:start w:val="1"/>
      <w:numFmt w:val="lowerLetter"/>
      <w:lvlText w:val="%1."/>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22F650">
      <w:start w:val="1"/>
      <w:numFmt w:val="lowerLetter"/>
      <w:lvlText w:val="%2"/>
      <w:lvlJc w:val="left"/>
      <w:pPr>
        <w:ind w:left="14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449FFE">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3286E0">
      <w:start w:val="1"/>
      <w:numFmt w:val="decimal"/>
      <w:lvlText w:val="%4"/>
      <w:lvlJc w:val="left"/>
      <w:pPr>
        <w:ind w:left="2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F25A7E">
      <w:start w:val="1"/>
      <w:numFmt w:val="lowerLetter"/>
      <w:lvlText w:val="%5"/>
      <w:lvlJc w:val="left"/>
      <w:pPr>
        <w:ind w:left="3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5800B0">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0AADB8">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E4E5C">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10AED32">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4163AC"/>
    <w:multiLevelType w:val="hybridMultilevel"/>
    <w:tmpl w:val="EFCE3D0A"/>
    <w:lvl w:ilvl="0" w:tplc="2814D608">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1EA98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0C822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2AB15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4A3D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8C6AB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6BC604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76245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04BEB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BB3D9A"/>
    <w:multiLevelType w:val="hybridMultilevel"/>
    <w:tmpl w:val="FBF0DD9A"/>
    <w:lvl w:ilvl="0" w:tplc="F70888DE">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6C227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DCD82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06492C">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7C4FCE">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184EA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ACB72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1EECD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363C8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36B322B"/>
    <w:multiLevelType w:val="hybridMultilevel"/>
    <w:tmpl w:val="97B6AA70"/>
    <w:lvl w:ilvl="0" w:tplc="FDA2C164">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3E106E">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9AF39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C4E78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BA01F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1AC81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CABA1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8AEF7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0C0F64">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70144FD"/>
    <w:multiLevelType w:val="hybridMultilevel"/>
    <w:tmpl w:val="A91C205A"/>
    <w:lvl w:ilvl="0" w:tplc="A4584096">
      <w:start w:val="1"/>
      <w:numFmt w:val="bullet"/>
      <w:lvlText w:val="•"/>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A8307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B08C1F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1C79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EA4A5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2426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30C75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E4F7D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06F32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B66380"/>
    <w:multiLevelType w:val="hybridMultilevel"/>
    <w:tmpl w:val="CAB4D752"/>
    <w:lvl w:ilvl="0" w:tplc="EC98326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C6118A">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5A7E5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885F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4613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406D3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894AD4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56578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0E1EFE">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8010C14"/>
    <w:multiLevelType w:val="hybridMultilevel"/>
    <w:tmpl w:val="2FFA1978"/>
    <w:lvl w:ilvl="0" w:tplc="6E7E5962">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C6729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468E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F495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B436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2C09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C6FC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D685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38B5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9811BB7"/>
    <w:multiLevelType w:val="hybridMultilevel"/>
    <w:tmpl w:val="F20C6D0E"/>
    <w:lvl w:ilvl="0" w:tplc="393AE1C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82FFF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CCACB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B0F1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28B6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0271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2276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FE4D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1CD3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D655618"/>
    <w:multiLevelType w:val="hybridMultilevel"/>
    <w:tmpl w:val="589CBA52"/>
    <w:lvl w:ilvl="0" w:tplc="5C2EBFDE">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C62082">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0CB910">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AA64F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F2EF0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DC58A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4F08A3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0CE4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7C4C1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DCA0609"/>
    <w:multiLevelType w:val="hybridMultilevel"/>
    <w:tmpl w:val="582CF118"/>
    <w:lvl w:ilvl="0" w:tplc="EE1C5876">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2AA744">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F07FE2">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76E514">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8837CE">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889FD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6C00C2">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A2102E">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4A683E">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3462C1"/>
    <w:multiLevelType w:val="hybridMultilevel"/>
    <w:tmpl w:val="BA248B88"/>
    <w:lvl w:ilvl="0" w:tplc="59B874AA">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C45B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120F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D0059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9E56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3854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66C5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B6F32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4C4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EA840C8"/>
    <w:multiLevelType w:val="hybridMultilevel"/>
    <w:tmpl w:val="D000380A"/>
    <w:lvl w:ilvl="0" w:tplc="4794905C">
      <w:start w:val="1"/>
      <w:numFmt w:val="bullet"/>
      <w:lvlText w:val="•"/>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C4B7C2">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2449D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D48B10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F4ED0A">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9E594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967A4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C1FF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F22951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FA94C72"/>
    <w:multiLevelType w:val="hybridMultilevel"/>
    <w:tmpl w:val="D8C474A6"/>
    <w:lvl w:ilvl="0" w:tplc="8B5CE43E">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06D9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E898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6ADC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984C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7848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029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F6B9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A410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FD85CC9"/>
    <w:multiLevelType w:val="hybridMultilevel"/>
    <w:tmpl w:val="A9AE243E"/>
    <w:lvl w:ilvl="0" w:tplc="E0CC9B48">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902FE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E48C38">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ECD51E">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F88168">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E4F86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6224D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FCB4BE">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6CDA5E">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03A0C43"/>
    <w:multiLevelType w:val="hybridMultilevel"/>
    <w:tmpl w:val="2BDAA2C6"/>
    <w:lvl w:ilvl="0" w:tplc="14A0B1C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440CFA">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03AF0D6">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44D89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38CACA">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7896C8">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E4986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9A5E6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009716">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13C460B"/>
    <w:multiLevelType w:val="hybridMultilevel"/>
    <w:tmpl w:val="8EACEDDC"/>
    <w:lvl w:ilvl="0" w:tplc="8F92514C">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AC7070">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CE7EF0">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BE1596">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EEC9FA">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E23968">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4058BE">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08A088">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8201C0">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216C6BFC"/>
    <w:multiLevelType w:val="hybridMultilevel"/>
    <w:tmpl w:val="EFD67BBA"/>
    <w:lvl w:ilvl="0" w:tplc="0D7809F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B6E2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FC111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2870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E4CC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1E44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D2841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84C5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4884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2D61B95"/>
    <w:multiLevelType w:val="hybridMultilevel"/>
    <w:tmpl w:val="C714DB42"/>
    <w:lvl w:ilvl="0" w:tplc="312AA098">
      <w:start w:val="1"/>
      <w:numFmt w:val="decimal"/>
      <w:lvlText w:val="%1."/>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FE4CFC">
      <w:start w:val="1"/>
      <w:numFmt w:val="bullet"/>
      <w:lvlText w:val="o"/>
      <w:lvlJc w:val="left"/>
      <w:pPr>
        <w:ind w:left="145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8080E1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36A476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92C981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C9AB6E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80EDF9C">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2A0744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7F67CE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4D236BF"/>
    <w:multiLevelType w:val="hybridMultilevel"/>
    <w:tmpl w:val="0932FD22"/>
    <w:lvl w:ilvl="0" w:tplc="AC5837A8">
      <w:start w:val="1"/>
      <w:numFmt w:val="lowerLetter"/>
      <w:lvlText w:val="%1."/>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48623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52FDB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FBAC75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DA781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90C845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0284A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B2487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56B24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5130C65"/>
    <w:multiLevelType w:val="hybridMultilevel"/>
    <w:tmpl w:val="734CBB0C"/>
    <w:lvl w:ilvl="0" w:tplc="49C0D2C4">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FC14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F65E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AC4F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8387E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ECC4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EAAC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0E8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94E23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5624D2B"/>
    <w:multiLevelType w:val="hybridMultilevel"/>
    <w:tmpl w:val="83F2608E"/>
    <w:lvl w:ilvl="0" w:tplc="97E6E454">
      <w:start w:val="1"/>
      <w:numFmt w:val="lowerLetter"/>
      <w:lvlText w:val="(%1)"/>
      <w:lvlJc w:val="left"/>
      <w:pPr>
        <w:ind w:left="3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FFACC86">
      <w:start w:val="1"/>
      <w:numFmt w:val="lowerLetter"/>
      <w:lvlText w:val="%2"/>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A85A1B00">
      <w:start w:val="1"/>
      <w:numFmt w:val="lowerRoman"/>
      <w:lvlText w:val="%3"/>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122474D2">
      <w:start w:val="1"/>
      <w:numFmt w:val="decimal"/>
      <w:lvlText w:val="%4"/>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4A7DEE">
      <w:start w:val="1"/>
      <w:numFmt w:val="lowerLetter"/>
      <w:lvlText w:val="%5"/>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0787E52">
      <w:start w:val="1"/>
      <w:numFmt w:val="lowerRoman"/>
      <w:lvlText w:val="%6"/>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90360A4E">
      <w:start w:val="1"/>
      <w:numFmt w:val="decimal"/>
      <w:lvlText w:val="%7"/>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404666A">
      <w:start w:val="1"/>
      <w:numFmt w:val="lowerLetter"/>
      <w:lvlText w:val="%8"/>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5C34BC94">
      <w:start w:val="1"/>
      <w:numFmt w:val="lowerRoman"/>
      <w:lvlText w:val="%9"/>
      <w:lvlJc w:val="left"/>
      <w:pPr>
        <w:ind w:left="68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9D934EE"/>
    <w:multiLevelType w:val="hybridMultilevel"/>
    <w:tmpl w:val="B8E85510"/>
    <w:lvl w:ilvl="0" w:tplc="DA5CB106">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CAD3AA">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66DDE4">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BE1AB6">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2A58B6">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1F4A99A">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A11AE">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18D75C">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782CE4">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DF5390C"/>
    <w:multiLevelType w:val="hybridMultilevel"/>
    <w:tmpl w:val="8304ADC8"/>
    <w:lvl w:ilvl="0" w:tplc="6FF0AFD8">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890BA">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AE98D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085A3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B44E2E">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2C84C2">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DEA16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EE4F0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CAAF8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E5E030A"/>
    <w:multiLevelType w:val="hybridMultilevel"/>
    <w:tmpl w:val="6D78EE84"/>
    <w:lvl w:ilvl="0" w:tplc="BE789E80">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76C0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5EE4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ECE8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6A11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78BE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C98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7E00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BE0F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FCB362B"/>
    <w:multiLevelType w:val="hybridMultilevel"/>
    <w:tmpl w:val="9632A554"/>
    <w:lvl w:ilvl="0" w:tplc="29F62F70">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2573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E0BF0A">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8C23C4">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98141A">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0671D6">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7CBCDE">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CEBA8C">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F61868">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01C7023"/>
    <w:multiLevelType w:val="hybridMultilevel"/>
    <w:tmpl w:val="7940F82C"/>
    <w:lvl w:ilvl="0" w:tplc="5E6CD9E4">
      <w:start w:val="1"/>
      <w:numFmt w:val="lowerLetter"/>
      <w:lvlText w:val="%1."/>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58103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C8C018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B4C4E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44825F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A32990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71A4AE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B5A3504">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85C681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06D76EB"/>
    <w:multiLevelType w:val="hybridMultilevel"/>
    <w:tmpl w:val="BF56CFCC"/>
    <w:lvl w:ilvl="0" w:tplc="43EAE2C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BA4B2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E2571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2E244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1C56B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16B07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49B52">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E6928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F0C192">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13F0ADB"/>
    <w:multiLevelType w:val="hybridMultilevel"/>
    <w:tmpl w:val="4DB8E0D4"/>
    <w:lvl w:ilvl="0" w:tplc="C9846E0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D4C98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D0BE6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AE9DC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A63E6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D62DB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EEBB4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85628">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5088A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32EA78A7"/>
    <w:multiLevelType w:val="multilevel"/>
    <w:tmpl w:val="F7B221F4"/>
    <w:lvl w:ilvl="0">
      <w:start w:val="1"/>
      <w:numFmt w:val="decimal"/>
      <w:pStyle w:val="Heading1"/>
      <w:lvlText w:val="%1"/>
      <w:lvlJc w:val="left"/>
      <w:pPr>
        <w:ind w:left="0"/>
      </w:pPr>
      <w:rPr>
        <w:rFonts w:ascii="Arial" w:eastAsia="Arial" w:hAnsi="Arial" w:cs="Arial"/>
        <w:b/>
        <w:bCs/>
        <w:i w:val="0"/>
        <w:strike w:val="0"/>
        <w:dstrike w:val="0"/>
        <w:color w:val="004E9A"/>
        <w:sz w:val="32"/>
        <w:szCs w:val="3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4E9A"/>
        <w:sz w:val="28"/>
        <w:szCs w:val="28"/>
        <w:u w:val="none" w:color="000000"/>
        <w:bdr w:val="none" w:sz="0" w:space="0" w:color="auto"/>
        <w:shd w:val="clear" w:color="auto" w:fill="auto"/>
        <w:vertAlign w:val="baseline"/>
      </w:rPr>
    </w:lvl>
  </w:abstractNum>
  <w:abstractNum w:abstractNumId="34" w15:restartNumberingAfterBreak="0">
    <w:nsid w:val="34DB6665"/>
    <w:multiLevelType w:val="hybridMultilevel"/>
    <w:tmpl w:val="1C927C26"/>
    <w:lvl w:ilvl="0" w:tplc="23DE6726">
      <w:start w:val="1"/>
      <w:numFmt w:val="bullet"/>
      <w:lvlText w:val="•"/>
      <w:lvlJc w:val="left"/>
      <w:pPr>
        <w:ind w:left="725"/>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1" w:tplc="980CA448">
      <w:start w:val="1"/>
      <w:numFmt w:val="bullet"/>
      <w:lvlText w:val="o"/>
      <w:lvlJc w:val="left"/>
      <w:pPr>
        <w:ind w:left="143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2" w:tplc="F7E469CA">
      <w:start w:val="1"/>
      <w:numFmt w:val="bullet"/>
      <w:lvlText w:val="▪"/>
      <w:lvlJc w:val="left"/>
      <w:pPr>
        <w:ind w:left="215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3" w:tplc="F64097DC">
      <w:start w:val="1"/>
      <w:numFmt w:val="bullet"/>
      <w:lvlText w:val="•"/>
      <w:lvlJc w:val="left"/>
      <w:pPr>
        <w:ind w:left="2878"/>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4" w:tplc="3E5CE0C8">
      <w:start w:val="1"/>
      <w:numFmt w:val="bullet"/>
      <w:lvlText w:val="o"/>
      <w:lvlJc w:val="left"/>
      <w:pPr>
        <w:ind w:left="359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5" w:tplc="EA08F7A4">
      <w:start w:val="1"/>
      <w:numFmt w:val="bullet"/>
      <w:lvlText w:val="▪"/>
      <w:lvlJc w:val="left"/>
      <w:pPr>
        <w:ind w:left="431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6" w:tplc="EFC88CC6">
      <w:start w:val="1"/>
      <w:numFmt w:val="bullet"/>
      <w:lvlText w:val="•"/>
      <w:lvlJc w:val="left"/>
      <w:pPr>
        <w:ind w:left="5038"/>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7" w:tplc="E974B246">
      <w:start w:val="1"/>
      <w:numFmt w:val="bullet"/>
      <w:lvlText w:val="o"/>
      <w:lvlJc w:val="left"/>
      <w:pPr>
        <w:ind w:left="575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8" w:tplc="DBF6277C">
      <w:start w:val="1"/>
      <w:numFmt w:val="bullet"/>
      <w:lvlText w:val="▪"/>
      <w:lvlJc w:val="left"/>
      <w:pPr>
        <w:ind w:left="6478"/>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abstractNum>
  <w:abstractNum w:abstractNumId="35" w15:restartNumberingAfterBreak="0">
    <w:nsid w:val="378E004D"/>
    <w:multiLevelType w:val="hybridMultilevel"/>
    <w:tmpl w:val="575610E6"/>
    <w:lvl w:ilvl="0" w:tplc="864ECCAA">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861A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6C99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08FC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046A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36F5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4E84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AFA5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256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B030F77"/>
    <w:multiLevelType w:val="hybridMultilevel"/>
    <w:tmpl w:val="CFEE574E"/>
    <w:lvl w:ilvl="0" w:tplc="C43811F8">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2082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B0BC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1AAF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7E68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DA279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CEE2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C495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E7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2BA1058"/>
    <w:multiLevelType w:val="hybridMultilevel"/>
    <w:tmpl w:val="7DA0DB7A"/>
    <w:lvl w:ilvl="0" w:tplc="90047E46">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9E862C">
      <w:start w:val="1"/>
      <w:numFmt w:val="bullet"/>
      <w:lvlText w:val="o"/>
      <w:lvlJc w:val="left"/>
      <w:pPr>
        <w:ind w:left="11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FD69BF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B54F55A">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0EC1C2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F0526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5269928">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27C7AD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8666962">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2E045BE"/>
    <w:multiLevelType w:val="hybridMultilevel"/>
    <w:tmpl w:val="BF107612"/>
    <w:lvl w:ilvl="0" w:tplc="32FEB6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E421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78AC5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1967C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FAB9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A065D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1C5DA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CBC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732F2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38F7C72"/>
    <w:multiLevelType w:val="hybridMultilevel"/>
    <w:tmpl w:val="ED4AD318"/>
    <w:lvl w:ilvl="0" w:tplc="E3DAD5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86D6BE">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3669C2">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0C0EC6">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A845B6">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8E021C">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8FD5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A046D6">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35A0">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475C5D81"/>
    <w:multiLevelType w:val="hybridMultilevel"/>
    <w:tmpl w:val="BC5C930C"/>
    <w:lvl w:ilvl="0" w:tplc="CA02246A">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1AC60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D0376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7445F2">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D6D3B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96E61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4242058">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E847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525A76">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7856FFC"/>
    <w:multiLevelType w:val="hybridMultilevel"/>
    <w:tmpl w:val="EE7226A8"/>
    <w:lvl w:ilvl="0" w:tplc="79D07C78">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082F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E63B2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7A64F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881A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9239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3421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A096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F2E7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47EE3E64"/>
    <w:multiLevelType w:val="hybridMultilevel"/>
    <w:tmpl w:val="6688F70E"/>
    <w:lvl w:ilvl="0" w:tplc="9C10B2B6">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E0EDC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D2EC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84B8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0E6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888F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38E347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3AB0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2C0F9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4C4B2BE0"/>
    <w:multiLevelType w:val="hybridMultilevel"/>
    <w:tmpl w:val="DEDC3658"/>
    <w:lvl w:ilvl="0" w:tplc="195679C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F0AE0A">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1EFC6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E416A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98C62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48966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FAE1F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90643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BAD65C">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CFB07E4"/>
    <w:multiLevelType w:val="hybridMultilevel"/>
    <w:tmpl w:val="B3C06DF2"/>
    <w:lvl w:ilvl="0" w:tplc="41EC8648">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5A5F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C1A6D9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3494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D896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D680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0882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E51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7498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ECC2866"/>
    <w:multiLevelType w:val="hybridMultilevel"/>
    <w:tmpl w:val="321CEC92"/>
    <w:lvl w:ilvl="0" w:tplc="53E61AA8">
      <w:start w:val="1"/>
      <w:numFmt w:val="lowerLetter"/>
      <w:lvlText w:val="(%1)"/>
      <w:lvlJc w:val="left"/>
      <w:pPr>
        <w:ind w:left="777"/>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14E2D9C">
      <w:start w:val="1"/>
      <w:numFmt w:val="lowerLetter"/>
      <w:lvlText w:val="%2"/>
      <w:lvlJc w:val="left"/>
      <w:pPr>
        <w:ind w:left="15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F087206">
      <w:start w:val="1"/>
      <w:numFmt w:val="lowerRoman"/>
      <w:lvlText w:val="%3"/>
      <w:lvlJc w:val="left"/>
      <w:pPr>
        <w:ind w:left="22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CC1A78AC">
      <w:start w:val="1"/>
      <w:numFmt w:val="decimal"/>
      <w:lvlText w:val="%4"/>
      <w:lvlJc w:val="left"/>
      <w:pPr>
        <w:ind w:left="29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556A282">
      <w:start w:val="1"/>
      <w:numFmt w:val="lowerLetter"/>
      <w:lvlText w:val="%5"/>
      <w:lvlJc w:val="left"/>
      <w:pPr>
        <w:ind w:left="367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075E2154">
      <w:start w:val="1"/>
      <w:numFmt w:val="lowerRoman"/>
      <w:lvlText w:val="%6"/>
      <w:lvlJc w:val="left"/>
      <w:pPr>
        <w:ind w:left="439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086EBB9A">
      <w:start w:val="1"/>
      <w:numFmt w:val="decimal"/>
      <w:lvlText w:val="%7"/>
      <w:lvlJc w:val="left"/>
      <w:pPr>
        <w:ind w:left="511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8DE4DD88">
      <w:start w:val="1"/>
      <w:numFmt w:val="lowerLetter"/>
      <w:lvlText w:val="%8"/>
      <w:lvlJc w:val="left"/>
      <w:pPr>
        <w:ind w:left="583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69487B72">
      <w:start w:val="1"/>
      <w:numFmt w:val="lowerRoman"/>
      <w:lvlText w:val="%9"/>
      <w:lvlJc w:val="left"/>
      <w:pPr>
        <w:ind w:left="655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270608B"/>
    <w:multiLevelType w:val="hybridMultilevel"/>
    <w:tmpl w:val="155CD2F2"/>
    <w:lvl w:ilvl="0" w:tplc="0FB25C6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F0B93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0A6862">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56203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0EB3BA">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808246">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32104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30F430">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AEBDC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51B300C"/>
    <w:multiLevelType w:val="hybridMultilevel"/>
    <w:tmpl w:val="02C483D2"/>
    <w:lvl w:ilvl="0" w:tplc="A4444E46">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C4786C">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E2586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5CB758">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6D5D2">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9412B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3C22B0">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C8A0E">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666EBE">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72902AA"/>
    <w:multiLevelType w:val="hybridMultilevel"/>
    <w:tmpl w:val="CDA6017A"/>
    <w:lvl w:ilvl="0" w:tplc="0B90152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F8B054">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056377E">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24BEFA">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4E8358">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CAB38E">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386DD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0EAAD6">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EF026">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588374DA"/>
    <w:multiLevelType w:val="hybridMultilevel"/>
    <w:tmpl w:val="5E2662B0"/>
    <w:lvl w:ilvl="0" w:tplc="6CEE557A">
      <w:start w:val="1"/>
      <w:numFmt w:val="bullet"/>
      <w:lvlText w:val="•"/>
      <w:lvlJc w:val="left"/>
      <w:pPr>
        <w:ind w:left="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9ED1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7038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4D5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B4FEA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AAB5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D699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83F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F0B2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8F16A2C"/>
    <w:multiLevelType w:val="hybridMultilevel"/>
    <w:tmpl w:val="EB1E6004"/>
    <w:lvl w:ilvl="0" w:tplc="D8C233CA">
      <w:start w:val="1"/>
      <w:numFmt w:val="decimal"/>
      <w:lvlText w:val="%1."/>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02F356">
      <w:start w:val="1"/>
      <w:numFmt w:val="lowerLetter"/>
      <w:lvlText w:val="%2"/>
      <w:lvlJc w:val="left"/>
      <w:pPr>
        <w:ind w:left="1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883312">
      <w:start w:val="1"/>
      <w:numFmt w:val="lowerRoman"/>
      <w:lvlText w:val="%3"/>
      <w:lvlJc w:val="left"/>
      <w:pPr>
        <w:ind w:left="2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C4A72E4">
      <w:start w:val="1"/>
      <w:numFmt w:val="decimal"/>
      <w:lvlText w:val="%4"/>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456DE">
      <w:start w:val="1"/>
      <w:numFmt w:val="lowerLetter"/>
      <w:lvlText w:val="%5"/>
      <w:lvlJc w:val="left"/>
      <w:pPr>
        <w:ind w:left="3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326E4A">
      <w:start w:val="1"/>
      <w:numFmt w:val="lowerRoman"/>
      <w:lvlText w:val="%6"/>
      <w:lvlJc w:val="left"/>
      <w:pPr>
        <w:ind w:left="4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FC075E">
      <w:start w:val="1"/>
      <w:numFmt w:val="decimal"/>
      <w:lvlText w:val="%7"/>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32E26A">
      <w:start w:val="1"/>
      <w:numFmt w:val="lowerLetter"/>
      <w:lvlText w:val="%8"/>
      <w:lvlJc w:val="left"/>
      <w:pPr>
        <w:ind w:left="5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E80120">
      <w:start w:val="1"/>
      <w:numFmt w:val="lowerRoman"/>
      <w:lvlText w:val="%9"/>
      <w:lvlJc w:val="left"/>
      <w:pPr>
        <w:ind w:left="64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A9375EC"/>
    <w:multiLevelType w:val="hybridMultilevel"/>
    <w:tmpl w:val="7E7AA702"/>
    <w:lvl w:ilvl="0" w:tplc="9CF4E7F6">
      <w:start w:val="1"/>
      <w:numFmt w:val="lowerLetter"/>
      <w:lvlText w:val="(%1)"/>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0E1206">
      <w:start w:val="1"/>
      <w:numFmt w:val="lowerLetter"/>
      <w:lvlText w:val="%2"/>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F81B42">
      <w:start w:val="1"/>
      <w:numFmt w:val="lowerRoman"/>
      <w:lvlText w:val="%3"/>
      <w:lvlJc w:val="left"/>
      <w:pPr>
        <w:ind w:left="2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642736">
      <w:start w:val="1"/>
      <w:numFmt w:val="decimal"/>
      <w:lvlText w:val="%4"/>
      <w:lvlJc w:val="left"/>
      <w:pPr>
        <w:ind w:left="2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9CDB14">
      <w:start w:val="1"/>
      <w:numFmt w:val="lowerLetter"/>
      <w:lvlText w:val="%5"/>
      <w:lvlJc w:val="left"/>
      <w:pPr>
        <w:ind w:left="3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BEF0A6">
      <w:start w:val="1"/>
      <w:numFmt w:val="lowerRoman"/>
      <w:lvlText w:val="%6"/>
      <w:lvlJc w:val="left"/>
      <w:pPr>
        <w:ind w:left="4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146506">
      <w:start w:val="1"/>
      <w:numFmt w:val="decimal"/>
      <w:lvlText w:val="%7"/>
      <w:lvlJc w:val="left"/>
      <w:pPr>
        <w:ind w:left="5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7047AE">
      <w:start w:val="1"/>
      <w:numFmt w:val="lowerLetter"/>
      <w:lvlText w:val="%8"/>
      <w:lvlJc w:val="left"/>
      <w:pPr>
        <w:ind w:left="5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494796E">
      <w:start w:val="1"/>
      <w:numFmt w:val="lowerRoman"/>
      <w:lvlText w:val="%9"/>
      <w:lvlJc w:val="left"/>
      <w:pPr>
        <w:ind w:left="6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EDF502F"/>
    <w:multiLevelType w:val="hybridMultilevel"/>
    <w:tmpl w:val="A6D01A6E"/>
    <w:lvl w:ilvl="0" w:tplc="55F067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8C352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F6B67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AC69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663E0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063A7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68F4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F6E94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C87A1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FCA01F3"/>
    <w:multiLevelType w:val="hybridMultilevel"/>
    <w:tmpl w:val="FA842A42"/>
    <w:lvl w:ilvl="0" w:tplc="7E5E3F78">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62125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1EDB4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24D23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1A24B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0627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BA8E1E">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E0885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2235B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06C4ADF"/>
    <w:multiLevelType w:val="hybridMultilevel"/>
    <w:tmpl w:val="14F0C2C0"/>
    <w:lvl w:ilvl="0" w:tplc="C95A4072">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320FB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80398C">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FA8C906">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72CA86">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C4D676">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1563690">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26FE6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48107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66576273"/>
    <w:multiLevelType w:val="hybridMultilevel"/>
    <w:tmpl w:val="334A1EB0"/>
    <w:lvl w:ilvl="0" w:tplc="995C0686">
      <w:start w:val="1"/>
      <w:numFmt w:val="lowerLetter"/>
      <w:lvlText w:val="%1."/>
      <w:lvlJc w:val="left"/>
      <w:pPr>
        <w:ind w:left="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2081EE">
      <w:start w:val="1"/>
      <w:numFmt w:val="lowerLetter"/>
      <w:lvlText w:val="%2"/>
      <w:lvlJc w:val="left"/>
      <w:pPr>
        <w:ind w:left="1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7C7350">
      <w:start w:val="1"/>
      <w:numFmt w:val="lowerRoman"/>
      <w:lvlText w:val="%3"/>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7E62E6">
      <w:start w:val="1"/>
      <w:numFmt w:val="decimal"/>
      <w:lvlText w:val="%4"/>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52DF78">
      <w:start w:val="1"/>
      <w:numFmt w:val="lowerLetter"/>
      <w:lvlText w:val="%5"/>
      <w:lvlJc w:val="left"/>
      <w:pPr>
        <w:ind w:left="3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1EA31E">
      <w:start w:val="1"/>
      <w:numFmt w:val="lowerRoman"/>
      <w:lvlText w:val="%6"/>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10BEA8">
      <w:start w:val="1"/>
      <w:numFmt w:val="decimal"/>
      <w:lvlText w:val="%7"/>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8288B0">
      <w:start w:val="1"/>
      <w:numFmt w:val="lowerLetter"/>
      <w:lvlText w:val="%8"/>
      <w:lvlJc w:val="left"/>
      <w:pPr>
        <w:ind w:left="57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A48B0">
      <w:start w:val="1"/>
      <w:numFmt w:val="lowerRoman"/>
      <w:lvlText w:val="%9"/>
      <w:lvlJc w:val="left"/>
      <w:pPr>
        <w:ind w:left="64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67260AF"/>
    <w:multiLevelType w:val="hybridMultilevel"/>
    <w:tmpl w:val="EDBA9B1E"/>
    <w:lvl w:ilvl="0" w:tplc="7E6A0A36">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2088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1840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3A7D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80A6D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84B96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1EAA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FAFF9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9252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6854B11"/>
    <w:multiLevelType w:val="hybridMultilevel"/>
    <w:tmpl w:val="2AAEB70C"/>
    <w:lvl w:ilvl="0" w:tplc="D5A46E5E">
      <w:start w:val="1"/>
      <w:numFmt w:val="bullet"/>
      <w:lvlText w:val="•"/>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8405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06A71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2AB89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986B0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D48ED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146F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C1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E0BF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7AC009F"/>
    <w:multiLevelType w:val="hybridMultilevel"/>
    <w:tmpl w:val="056EA358"/>
    <w:lvl w:ilvl="0" w:tplc="F864CA38">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F25EE8">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C451CA">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808EC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58DAB0">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8A3C68">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6C8B9A">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44E276">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9C3A70">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6A796DF5"/>
    <w:multiLevelType w:val="hybridMultilevel"/>
    <w:tmpl w:val="3DE25380"/>
    <w:lvl w:ilvl="0" w:tplc="DF402F8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12857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52F4F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DE762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CC0E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CC22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821C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E876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A47D1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6E214965"/>
    <w:multiLevelType w:val="hybridMultilevel"/>
    <w:tmpl w:val="DE60B8AE"/>
    <w:lvl w:ilvl="0" w:tplc="9468E3D2">
      <w:start w:val="1"/>
      <w:numFmt w:val="lowerLetter"/>
      <w:lvlText w:val="%1."/>
      <w:lvlJc w:val="left"/>
      <w:pPr>
        <w:ind w:left="1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328618">
      <w:start w:val="1"/>
      <w:numFmt w:val="lowerLetter"/>
      <w:lvlText w:val="%2"/>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B48AE8">
      <w:start w:val="1"/>
      <w:numFmt w:val="lowerRoman"/>
      <w:lvlText w:val="%3"/>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D340566">
      <w:start w:val="1"/>
      <w:numFmt w:val="decimal"/>
      <w:lvlText w:val="%4"/>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487B6">
      <w:start w:val="1"/>
      <w:numFmt w:val="lowerLetter"/>
      <w:lvlText w:val="%5"/>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A64654">
      <w:start w:val="1"/>
      <w:numFmt w:val="lowerRoman"/>
      <w:lvlText w:val="%6"/>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8389020">
      <w:start w:val="1"/>
      <w:numFmt w:val="decimal"/>
      <w:lvlText w:val="%7"/>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A63E52">
      <w:start w:val="1"/>
      <w:numFmt w:val="lowerLetter"/>
      <w:lvlText w:val="%8"/>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C5618B2">
      <w:start w:val="1"/>
      <w:numFmt w:val="lowerRoman"/>
      <w:lvlText w:val="%9"/>
      <w:lvlJc w:val="left"/>
      <w:pPr>
        <w:ind w:left="6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EC12576"/>
    <w:multiLevelType w:val="hybridMultilevel"/>
    <w:tmpl w:val="B5FAB518"/>
    <w:lvl w:ilvl="0" w:tplc="09D0DA88">
      <w:start w:val="1"/>
      <w:numFmt w:val="bullet"/>
      <w:lvlText w:val="•"/>
      <w:lvlJc w:val="left"/>
      <w:pPr>
        <w:ind w:left="732"/>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1" w:tplc="51FE02C0">
      <w:start w:val="1"/>
      <w:numFmt w:val="bullet"/>
      <w:lvlText w:val="o"/>
      <w:lvlJc w:val="left"/>
      <w:pPr>
        <w:ind w:left="144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2" w:tplc="C4602704">
      <w:start w:val="1"/>
      <w:numFmt w:val="bullet"/>
      <w:lvlText w:val="▪"/>
      <w:lvlJc w:val="left"/>
      <w:pPr>
        <w:ind w:left="216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3" w:tplc="27983F36">
      <w:start w:val="1"/>
      <w:numFmt w:val="bullet"/>
      <w:lvlText w:val="•"/>
      <w:lvlJc w:val="left"/>
      <w:pPr>
        <w:ind w:left="2880"/>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4" w:tplc="7C46EF3C">
      <w:start w:val="1"/>
      <w:numFmt w:val="bullet"/>
      <w:lvlText w:val="o"/>
      <w:lvlJc w:val="left"/>
      <w:pPr>
        <w:ind w:left="360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5" w:tplc="754A0D70">
      <w:start w:val="1"/>
      <w:numFmt w:val="bullet"/>
      <w:lvlText w:val="▪"/>
      <w:lvlJc w:val="left"/>
      <w:pPr>
        <w:ind w:left="432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6" w:tplc="E77E6336">
      <w:start w:val="1"/>
      <w:numFmt w:val="bullet"/>
      <w:lvlText w:val="•"/>
      <w:lvlJc w:val="left"/>
      <w:pPr>
        <w:ind w:left="5040"/>
      </w:pPr>
      <w:rPr>
        <w:rFonts w:ascii="Arial" w:eastAsia="Arial" w:hAnsi="Arial" w:cs="Arial"/>
        <w:b w:val="0"/>
        <w:i w:val="0"/>
        <w:strike w:val="0"/>
        <w:dstrike w:val="0"/>
        <w:color w:val="0A0A0A"/>
        <w:sz w:val="20"/>
        <w:szCs w:val="20"/>
        <w:u w:val="none" w:color="000000"/>
        <w:bdr w:val="none" w:sz="0" w:space="0" w:color="auto"/>
        <w:shd w:val="clear" w:color="auto" w:fill="auto"/>
        <w:vertAlign w:val="baseline"/>
      </w:rPr>
    </w:lvl>
    <w:lvl w:ilvl="7" w:tplc="62E42F90">
      <w:start w:val="1"/>
      <w:numFmt w:val="bullet"/>
      <w:lvlText w:val="o"/>
      <w:lvlJc w:val="left"/>
      <w:pPr>
        <w:ind w:left="576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lvl w:ilvl="8" w:tplc="347A9BDE">
      <w:start w:val="1"/>
      <w:numFmt w:val="bullet"/>
      <w:lvlText w:val="▪"/>
      <w:lvlJc w:val="left"/>
      <w:pPr>
        <w:ind w:left="6480"/>
      </w:pPr>
      <w:rPr>
        <w:rFonts w:ascii="Segoe UI Symbol" w:eastAsia="Segoe UI Symbol" w:hAnsi="Segoe UI Symbol" w:cs="Segoe UI Symbol"/>
        <w:b w:val="0"/>
        <w:i w:val="0"/>
        <w:strike w:val="0"/>
        <w:dstrike w:val="0"/>
        <w:color w:val="0A0A0A"/>
        <w:sz w:val="20"/>
        <w:szCs w:val="20"/>
        <w:u w:val="none" w:color="000000"/>
        <w:bdr w:val="none" w:sz="0" w:space="0" w:color="auto"/>
        <w:shd w:val="clear" w:color="auto" w:fill="auto"/>
        <w:vertAlign w:val="baseline"/>
      </w:rPr>
    </w:lvl>
  </w:abstractNum>
  <w:abstractNum w:abstractNumId="62" w15:restartNumberingAfterBreak="0">
    <w:nsid w:val="6FC404B6"/>
    <w:multiLevelType w:val="hybridMultilevel"/>
    <w:tmpl w:val="D47E6576"/>
    <w:lvl w:ilvl="0" w:tplc="F4D66E8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3C06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B619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3C12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342FA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0E349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B637C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ACD6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0863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0891993"/>
    <w:multiLevelType w:val="hybridMultilevel"/>
    <w:tmpl w:val="ABA8DBBC"/>
    <w:lvl w:ilvl="0" w:tplc="51E064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50BF02">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3A617A">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26B4C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EAFF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42071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96810A">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0AC424">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0A8046">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797C6D4A"/>
    <w:multiLevelType w:val="hybridMultilevel"/>
    <w:tmpl w:val="1BE0E196"/>
    <w:lvl w:ilvl="0" w:tplc="B49E8492">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06E1C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DE13F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68F8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98D10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4E40D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D407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74E4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E3A71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7D3E0DA3"/>
    <w:multiLevelType w:val="hybridMultilevel"/>
    <w:tmpl w:val="CFFEC832"/>
    <w:lvl w:ilvl="0" w:tplc="B05A04F4">
      <w:start w:val="1"/>
      <w:numFmt w:val="bullet"/>
      <w:lvlText w:val="•"/>
      <w:lvlJc w:val="left"/>
      <w:pPr>
        <w:ind w:left="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98B88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B46DAC">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F253D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06867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12A1DC">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16BE44">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F02F5A">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30CE82">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7E294676"/>
    <w:multiLevelType w:val="hybridMultilevel"/>
    <w:tmpl w:val="AF68DD06"/>
    <w:lvl w:ilvl="0" w:tplc="F34C5D32">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D659A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52843F2">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C0FE6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0EAAB4">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9E0E5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92C3D6">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D4069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52A82A">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7FEC5C73"/>
    <w:multiLevelType w:val="hybridMultilevel"/>
    <w:tmpl w:val="F3ACC12C"/>
    <w:lvl w:ilvl="0" w:tplc="2A1E3F8E">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96F7B8">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4EE2FA4">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BC862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2C280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46DC70">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03A9620">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100800">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0A832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32496050">
    <w:abstractNumId w:val="55"/>
  </w:num>
  <w:num w:numId="2" w16cid:durableId="1972977564">
    <w:abstractNumId w:val="16"/>
  </w:num>
  <w:num w:numId="3" w16cid:durableId="2076392167">
    <w:abstractNumId w:val="30"/>
  </w:num>
  <w:num w:numId="4" w16cid:durableId="893005161">
    <w:abstractNumId w:val="6"/>
  </w:num>
  <w:num w:numId="5" w16cid:durableId="1178273586">
    <w:abstractNumId w:val="38"/>
  </w:num>
  <w:num w:numId="6" w16cid:durableId="2113042490">
    <w:abstractNumId w:val="45"/>
  </w:num>
  <w:num w:numId="7" w16cid:durableId="1069645242">
    <w:abstractNumId w:val="59"/>
  </w:num>
  <w:num w:numId="8" w16cid:durableId="2100172231">
    <w:abstractNumId w:val="21"/>
  </w:num>
  <w:num w:numId="9" w16cid:durableId="1582645351">
    <w:abstractNumId w:val="39"/>
  </w:num>
  <w:num w:numId="10" w16cid:durableId="2023896965">
    <w:abstractNumId w:val="46"/>
  </w:num>
  <w:num w:numId="11" w16cid:durableId="510459957">
    <w:abstractNumId w:val="54"/>
  </w:num>
  <w:num w:numId="12" w16cid:durableId="1963152511">
    <w:abstractNumId w:val="2"/>
  </w:num>
  <w:num w:numId="13" w16cid:durableId="1007295944">
    <w:abstractNumId w:val="47"/>
  </w:num>
  <w:num w:numId="14" w16cid:durableId="1352991501">
    <w:abstractNumId w:val="51"/>
  </w:num>
  <w:num w:numId="15" w16cid:durableId="428431356">
    <w:abstractNumId w:val="8"/>
  </w:num>
  <w:num w:numId="16" w16cid:durableId="683672075">
    <w:abstractNumId w:val="50"/>
  </w:num>
  <w:num w:numId="17" w16cid:durableId="1082486502">
    <w:abstractNumId w:val="13"/>
  </w:num>
  <w:num w:numId="18" w16cid:durableId="1184782130">
    <w:abstractNumId w:val="27"/>
  </w:num>
  <w:num w:numId="19" w16cid:durableId="863597813">
    <w:abstractNumId w:val="63"/>
  </w:num>
  <w:num w:numId="20" w16cid:durableId="1324964967">
    <w:abstractNumId w:val="36"/>
  </w:num>
  <w:num w:numId="21" w16cid:durableId="188496498">
    <w:abstractNumId w:val="44"/>
  </w:num>
  <w:num w:numId="22" w16cid:durableId="83694657">
    <w:abstractNumId w:val="41"/>
  </w:num>
  <w:num w:numId="23" w16cid:durableId="976959559">
    <w:abstractNumId w:val="64"/>
  </w:num>
  <w:num w:numId="24" w16cid:durableId="1186600420">
    <w:abstractNumId w:val="5"/>
  </w:num>
  <w:num w:numId="25" w16cid:durableId="726299771">
    <w:abstractNumId w:val="18"/>
  </w:num>
  <w:num w:numId="26" w16cid:durableId="2068142722">
    <w:abstractNumId w:val="58"/>
  </w:num>
  <w:num w:numId="27" w16cid:durableId="599332686">
    <w:abstractNumId w:val="43"/>
  </w:num>
  <w:num w:numId="28" w16cid:durableId="1761178893">
    <w:abstractNumId w:val="37"/>
  </w:num>
  <w:num w:numId="29" w16cid:durableId="170875427">
    <w:abstractNumId w:val="9"/>
  </w:num>
  <w:num w:numId="30" w16cid:durableId="1736051430">
    <w:abstractNumId w:val="62"/>
  </w:num>
  <w:num w:numId="31" w16cid:durableId="1343170690">
    <w:abstractNumId w:val="25"/>
  </w:num>
  <w:num w:numId="32" w16cid:durableId="2055692334">
    <w:abstractNumId w:val="67"/>
  </w:num>
  <w:num w:numId="33" w16cid:durableId="1230455293">
    <w:abstractNumId w:val="35"/>
  </w:num>
  <w:num w:numId="34" w16cid:durableId="1854370275">
    <w:abstractNumId w:val="17"/>
  </w:num>
  <w:num w:numId="35" w16cid:durableId="2046523288">
    <w:abstractNumId w:val="11"/>
  </w:num>
  <w:num w:numId="36" w16cid:durableId="206377200">
    <w:abstractNumId w:val="26"/>
  </w:num>
  <w:num w:numId="37" w16cid:durableId="427122377">
    <w:abstractNumId w:val="23"/>
  </w:num>
  <w:num w:numId="38" w16cid:durableId="42676574">
    <w:abstractNumId w:val="49"/>
  </w:num>
  <w:num w:numId="39" w16cid:durableId="619995595">
    <w:abstractNumId w:val="4"/>
  </w:num>
  <w:num w:numId="40" w16cid:durableId="834297362">
    <w:abstractNumId w:val="0"/>
  </w:num>
  <w:num w:numId="41" w16cid:durableId="1347052896">
    <w:abstractNumId w:val="28"/>
  </w:num>
  <w:num w:numId="42" w16cid:durableId="1245147529">
    <w:abstractNumId w:val="22"/>
  </w:num>
  <w:num w:numId="43" w16cid:durableId="1586064119">
    <w:abstractNumId w:val="52"/>
  </w:num>
  <w:num w:numId="44" w16cid:durableId="449861993">
    <w:abstractNumId w:val="20"/>
  </w:num>
  <w:num w:numId="45" w16cid:durableId="2091585605">
    <w:abstractNumId w:val="56"/>
  </w:num>
  <w:num w:numId="46" w16cid:durableId="159853098">
    <w:abstractNumId w:val="65"/>
  </w:num>
  <w:num w:numId="47" w16cid:durableId="1947955481">
    <w:abstractNumId w:val="14"/>
  </w:num>
  <w:num w:numId="48" w16cid:durableId="2006200054">
    <w:abstractNumId w:val="42"/>
  </w:num>
  <w:num w:numId="49" w16cid:durableId="283271145">
    <w:abstractNumId w:val="15"/>
  </w:num>
  <w:num w:numId="50" w16cid:durableId="2075738993">
    <w:abstractNumId w:val="1"/>
  </w:num>
  <w:num w:numId="51" w16cid:durableId="1685090344">
    <w:abstractNumId w:val="34"/>
  </w:num>
  <w:num w:numId="52" w16cid:durableId="1566723017">
    <w:abstractNumId w:val="24"/>
  </w:num>
  <w:num w:numId="53" w16cid:durableId="1610892029">
    <w:abstractNumId w:val="12"/>
  </w:num>
  <w:num w:numId="54" w16cid:durableId="1792046550">
    <w:abstractNumId w:val="48"/>
  </w:num>
  <w:num w:numId="55" w16cid:durableId="866067532">
    <w:abstractNumId w:val="66"/>
  </w:num>
  <w:num w:numId="56" w16cid:durableId="1614630274">
    <w:abstractNumId w:val="31"/>
  </w:num>
  <w:num w:numId="57" w16cid:durableId="484660863">
    <w:abstractNumId w:val="53"/>
  </w:num>
  <w:num w:numId="58" w16cid:durableId="329412140">
    <w:abstractNumId w:val="7"/>
  </w:num>
  <w:num w:numId="59" w16cid:durableId="553781457">
    <w:abstractNumId w:val="10"/>
  </w:num>
  <w:num w:numId="60" w16cid:durableId="1865482956">
    <w:abstractNumId w:val="40"/>
  </w:num>
  <w:num w:numId="61" w16cid:durableId="541526403">
    <w:abstractNumId w:val="3"/>
  </w:num>
  <w:num w:numId="62" w16cid:durableId="104430572">
    <w:abstractNumId w:val="32"/>
  </w:num>
  <w:num w:numId="63" w16cid:durableId="304628808">
    <w:abstractNumId w:val="29"/>
  </w:num>
  <w:num w:numId="64" w16cid:durableId="1635674229">
    <w:abstractNumId w:val="61"/>
  </w:num>
  <w:num w:numId="65" w16cid:durableId="1055352380">
    <w:abstractNumId w:val="19"/>
  </w:num>
  <w:num w:numId="66" w16cid:durableId="525599399">
    <w:abstractNumId w:val="60"/>
  </w:num>
  <w:num w:numId="67" w16cid:durableId="892543563">
    <w:abstractNumId w:val="57"/>
  </w:num>
  <w:num w:numId="68" w16cid:durableId="2123919439">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6E2"/>
    <w:rsid w:val="002C26E2"/>
    <w:rsid w:val="00444ECE"/>
    <w:rsid w:val="00536705"/>
    <w:rsid w:val="00554D9A"/>
    <w:rsid w:val="00705D26"/>
    <w:rsid w:val="00812CB4"/>
    <w:rsid w:val="008F6F08"/>
    <w:rsid w:val="009D5B98"/>
    <w:rsid w:val="00DB7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A8D30"/>
  <w15:docId w15:val="{02222FEF-BB54-48EC-A437-4E2C24AE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368"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numPr>
        <w:numId w:val="68"/>
      </w:numPr>
      <w:spacing w:after="347" w:line="265" w:lineRule="auto"/>
      <w:ind w:left="10" w:hanging="10"/>
      <w:outlineLvl w:val="0"/>
    </w:pPr>
    <w:rPr>
      <w:rFonts w:ascii="Arial" w:eastAsia="Arial" w:hAnsi="Arial" w:cs="Arial"/>
      <w:b/>
      <w:color w:val="004F88"/>
      <w:sz w:val="22"/>
    </w:rPr>
  </w:style>
  <w:style w:type="paragraph" w:styleId="Heading2">
    <w:name w:val="heading 2"/>
    <w:next w:val="Normal"/>
    <w:link w:val="Heading2Char"/>
    <w:uiPriority w:val="9"/>
    <w:unhideWhenUsed/>
    <w:qFormat/>
    <w:pPr>
      <w:keepNext/>
      <w:keepLines/>
      <w:numPr>
        <w:ilvl w:val="1"/>
        <w:numId w:val="68"/>
      </w:numPr>
      <w:spacing w:after="347" w:line="265" w:lineRule="auto"/>
      <w:ind w:left="10" w:hanging="10"/>
      <w:outlineLvl w:val="1"/>
    </w:pPr>
    <w:rPr>
      <w:rFonts w:ascii="Arial" w:eastAsia="Arial" w:hAnsi="Arial" w:cs="Arial"/>
      <w:b/>
      <w:color w:val="004F88"/>
      <w:sz w:val="22"/>
    </w:rPr>
  </w:style>
  <w:style w:type="paragraph" w:styleId="Heading3">
    <w:name w:val="heading 3"/>
    <w:next w:val="Normal"/>
    <w:link w:val="Heading3Char"/>
    <w:uiPriority w:val="9"/>
    <w:unhideWhenUsed/>
    <w:qFormat/>
    <w:pPr>
      <w:keepNext/>
      <w:keepLines/>
      <w:spacing w:after="229" w:line="265" w:lineRule="auto"/>
      <w:ind w:left="10" w:hanging="10"/>
      <w:outlineLvl w:val="2"/>
    </w:pPr>
    <w:rPr>
      <w:rFonts w:ascii="Arial" w:eastAsia="Arial" w:hAnsi="Arial" w:cs="Arial"/>
      <w:b/>
      <w:color w:val="004E9A"/>
      <w:sz w:val="28"/>
    </w:rPr>
  </w:style>
  <w:style w:type="paragraph" w:styleId="Heading4">
    <w:name w:val="heading 4"/>
    <w:next w:val="Normal"/>
    <w:link w:val="Heading4Char"/>
    <w:uiPriority w:val="9"/>
    <w:semiHidden/>
    <w:unhideWhenUsed/>
    <w:qFormat/>
    <w:pPr>
      <w:keepNext/>
      <w:keepLines/>
      <w:spacing w:after="347" w:line="265" w:lineRule="auto"/>
      <w:ind w:left="10" w:hanging="10"/>
      <w:outlineLvl w:val="3"/>
    </w:pPr>
    <w:rPr>
      <w:rFonts w:ascii="Arial" w:eastAsia="Arial" w:hAnsi="Arial" w:cs="Arial"/>
      <w:b/>
      <w:color w:val="004E9A"/>
      <w:sz w:val="22"/>
    </w:rPr>
  </w:style>
  <w:style w:type="paragraph" w:styleId="Heading5">
    <w:name w:val="heading 5"/>
    <w:next w:val="Normal"/>
    <w:link w:val="Heading5Char"/>
    <w:uiPriority w:val="9"/>
    <w:semiHidden/>
    <w:unhideWhenUsed/>
    <w:qFormat/>
    <w:pPr>
      <w:keepNext/>
      <w:keepLines/>
      <w:spacing w:after="347" w:line="265" w:lineRule="auto"/>
      <w:ind w:left="10" w:hanging="10"/>
      <w:outlineLvl w:val="4"/>
    </w:pPr>
    <w:rPr>
      <w:rFonts w:ascii="Arial" w:eastAsia="Arial" w:hAnsi="Arial" w:cs="Arial"/>
      <w:b/>
      <w:color w:val="004E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Arial" w:eastAsia="Arial" w:hAnsi="Arial" w:cs="Arial"/>
      <w:b/>
      <w:color w:val="004F88"/>
      <w:sz w:val="22"/>
    </w:rPr>
  </w:style>
  <w:style w:type="character" w:customStyle="1" w:styleId="Heading4Char">
    <w:name w:val="Heading 4 Char"/>
    <w:link w:val="Heading4"/>
    <w:rPr>
      <w:rFonts w:ascii="Arial" w:eastAsia="Arial" w:hAnsi="Arial" w:cs="Arial"/>
      <w:b/>
      <w:color w:val="004E9A"/>
      <w:sz w:val="22"/>
    </w:rPr>
  </w:style>
  <w:style w:type="character" w:customStyle="1" w:styleId="Heading5Char">
    <w:name w:val="Heading 5 Char"/>
    <w:link w:val="Heading5"/>
    <w:rPr>
      <w:rFonts w:ascii="Arial" w:eastAsia="Arial" w:hAnsi="Arial" w:cs="Arial"/>
      <w:b/>
      <w:color w:val="004E9A"/>
      <w:sz w:val="22"/>
    </w:rPr>
  </w:style>
  <w:style w:type="character" w:customStyle="1" w:styleId="Heading1Char">
    <w:name w:val="Heading 1 Char"/>
    <w:link w:val="Heading1"/>
    <w:uiPriority w:val="9"/>
    <w:rPr>
      <w:rFonts w:ascii="Arial" w:eastAsia="Arial" w:hAnsi="Arial" w:cs="Arial"/>
      <w:b/>
      <w:color w:val="004F88"/>
      <w:sz w:val="22"/>
    </w:rPr>
  </w:style>
  <w:style w:type="character" w:customStyle="1" w:styleId="Heading3Char">
    <w:name w:val="Heading 3 Char"/>
    <w:link w:val="Heading3"/>
    <w:rPr>
      <w:rFonts w:ascii="Arial" w:eastAsia="Arial" w:hAnsi="Arial" w:cs="Arial"/>
      <w:b/>
      <w:color w:val="004E9A"/>
      <w:sz w:val="28"/>
    </w:rPr>
  </w:style>
  <w:style w:type="paragraph" w:styleId="TOC1">
    <w:name w:val="toc 1"/>
    <w:hidden/>
    <w:pPr>
      <w:spacing w:after="229" w:line="265" w:lineRule="auto"/>
      <w:ind w:left="25" w:right="23" w:hanging="10"/>
    </w:pPr>
    <w:rPr>
      <w:rFonts w:ascii="Arial" w:eastAsia="Arial" w:hAnsi="Arial" w:cs="Arial"/>
      <w:b/>
      <w:color w:val="004E9A"/>
      <w:sz w:val="28"/>
    </w:rPr>
  </w:style>
  <w:style w:type="paragraph" w:styleId="TOC2">
    <w:name w:val="toc 2"/>
    <w:hidden/>
    <w:pPr>
      <w:spacing w:after="227" w:line="265" w:lineRule="auto"/>
      <w:ind w:left="25" w:right="16" w:hanging="10"/>
    </w:pPr>
    <w:rPr>
      <w:rFonts w:ascii="Arial" w:eastAsia="Arial" w:hAnsi="Arial" w:cs="Arial"/>
      <w:color w:val="000000"/>
      <w:sz w:val="20"/>
    </w:rPr>
  </w:style>
  <w:style w:type="paragraph" w:styleId="TOC3">
    <w:name w:val="toc 3"/>
    <w:hidden/>
    <w:pPr>
      <w:spacing w:after="239" w:line="259" w:lineRule="auto"/>
      <w:ind w:left="670" w:right="15" w:hanging="10"/>
      <w:jc w:val="right"/>
    </w:pPr>
    <w:rPr>
      <w:rFonts w:ascii="Arial" w:eastAsia="Arial" w:hAnsi="Arial" w:cs="Arial"/>
      <w:b/>
      <w:color w:val="004E9A"/>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8F6F08"/>
    <w:rPr>
      <w:color w:val="467886" w:themeColor="hyperlink"/>
      <w:u w:val="single"/>
    </w:rPr>
  </w:style>
  <w:style w:type="character" w:styleId="UnresolvedMention">
    <w:name w:val="Unresolved Mention"/>
    <w:basedOn w:val="DefaultParagraphFont"/>
    <w:uiPriority w:val="99"/>
    <w:semiHidden/>
    <w:unhideWhenUsed/>
    <w:rsid w:val="008F6F08"/>
    <w:rPr>
      <w:color w:val="605E5C"/>
      <w:shd w:val="clear" w:color="auto" w:fill="E1DFDD"/>
    </w:rPr>
  </w:style>
  <w:style w:type="table" w:styleId="TableGrid0">
    <w:name w:val="Table Grid"/>
    <w:basedOn w:val="TableNormal"/>
    <w:uiPriority w:val="39"/>
    <w:rsid w:val="008F6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www.niauditoffice.gov.uk/value-money-aud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niauditoffice.gov.uk/value-money-audi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91</Pages>
  <Words>21503</Words>
  <Characters>118272</Characters>
  <Application>Microsoft Office Word</Application>
  <DocSecurity>0</DocSecurity>
  <Lines>3032</Lines>
  <Paragraphs>2025</Paragraphs>
  <ScaleCrop>false</ScaleCrop>
  <Company/>
  <LinksUpToDate>false</LinksUpToDate>
  <CharactersWithSpaces>137750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Miskelly</dc:creator>
  <cp:keywords/>
  <cp:lastModifiedBy>Malcolm, Stewart</cp:lastModifiedBy>
  <cp:revision>4</cp:revision>
  <dcterms:created xsi:type="dcterms:W3CDTF">2026-06-02T13:50:00Z</dcterms:created>
  <dcterms:modified xsi:type="dcterms:W3CDTF">2026-06-02T14:06:00Z</dcterms:modified>
</cp:coreProperties>
</file>